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E5F" w:rsidRDefault="00063FC0">
      <w:pPr>
        <w:widowControl w:val="0"/>
        <w:spacing w:after="24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Проект № </w:t>
      </w:r>
      <w:r w:rsidR="000614EC">
        <w:rPr>
          <w:rFonts w:ascii="Times New Roman" w:hAnsi="Times New Roman" w:cs="Times New Roman"/>
          <w:bCs/>
          <w:sz w:val="24"/>
          <w:szCs w:val="24"/>
        </w:rPr>
        <w:t>221</w:t>
      </w:r>
      <w:r>
        <w:rPr>
          <w:rFonts w:ascii="Times New Roman" w:hAnsi="Times New Roman" w:cs="Times New Roman"/>
          <w:bCs/>
          <w:sz w:val="24"/>
          <w:szCs w:val="24"/>
        </w:rPr>
        <w:t>-пр</w:t>
      </w:r>
    </w:p>
    <w:p w:rsidR="00C30E5F" w:rsidRDefault="00063FC0">
      <w:pPr>
        <w:widowControl w:val="0"/>
        <w:spacing w:after="60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ЗАКОН НЕНЕЦКОГО АВТОНОМНОГО ОКРУГА</w:t>
      </w:r>
    </w:p>
    <w:p w:rsidR="00C30E5F" w:rsidRDefault="00063FC0">
      <w:pPr>
        <w:widowControl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пункт 1 Приложения </w:t>
      </w:r>
    </w:p>
    <w:p w:rsidR="00C30E5F" w:rsidRDefault="00063FC0">
      <w:pPr>
        <w:widowControl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 закону Ненецкого автономного округа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«Об административных комиссиях в Ненецком автономном округе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 наделении органов местного самоуправления муниципальных образований Ненецкого автономного округа отдельными государственными полномочиями Ненецкого автономного округа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в сфере административных правонарушений»</w:t>
      </w:r>
    </w:p>
    <w:p w:rsidR="00C30E5F" w:rsidRDefault="00063FC0">
      <w:pPr>
        <w:widowControl w:val="0"/>
        <w:spacing w:before="800" w:after="44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принятия в первом чтении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>____» ___________ 20__ года</w:t>
      </w:r>
    </w:p>
    <w:p w:rsidR="00C30E5F" w:rsidRDefault="00063FC0">
      <w:pPr>
        <w:spacing w:after="24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Статья 1 </w:t>
      </w:r>
    </w:p>
    <w:p w:rsidR="00C30E5F" w:rsidRDefault="00063FC0">
      <w:pPr>
        <w:spacing w:after="238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Внести в пункт 1 Приложения к закону Ненецкого автономного округа от 1 октября 2009 года № 59-оз «Об административных комиссиях в Ненецком автономном округе            и наделении органов местного самоуправления муниципальных образований Ненецкого автономного округа отдельными государственными полномочиями Ненецкого автономного округа в сфере административных правонарушений» (в редакции закона округа                      </w:t>
      </w:r>
      <w:r>
        <w:rPr>
          <w:rFonts w:ascii="Times New Roman" w:hAnsi="Times New Roman" w:cs="Times New Roman"/>
          <w:sz w:val="24"/>
          <w:szCs w:val="24"/>
        </w:rPr>
        <w:t>от 25 декабря 2024 года № 82-оз) следующие изменения:</w:t>
      </w:r>
    </w:p>
    <w:p w:rsidR="00C30E5F" w:rsidRDefault="00063FC0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1) абзац одиннадцатый изложить </w:t>
      </w:r>
      <w:r>
        <w:rPr>
          <w:rFonts w:ascii="Times New Roman" w:hAnsi="Times New Roman" w:cs="Times New Roman"/>
          <w:sz w:val="24"/>
          <w:szCs w:val="24"/>
        </w:rPr>
        <w:t>в следующей редакции:</w:t>
      </w:r>
    </w:p>
    <w:p w:rsidR="00C30E5F" w:rsidRDefault="00063FC0">
      <w:pPr>
        <w:spacing w:after="238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компенсация расходов на оплату стоимости проезда и провоза багажа к месту использования отпуска и обратно. Средства учитываются в расчете субвенций один раз в два года исходя из размера, предусмотренного действующими нормативными правовыми актами Ненецкого автономного округа для лиц, работающих в органах государственной власти Ненецкого автономного округа, государственных органах Ненецкого автономного округа,           в организациях, финансируемых за счет средств окружного бюджета, в Территориальном фонде обязательного медицинского страхования Ненецкого автономного округа, расположенных  на территории Ненецкого автономного округа или Архангельской области, и неработающих членов их семей, фактически проживающих в районах Крайнего Севера            и приравненных к ним местностях.»;</w:t>
      </w:r>
    </w:p>
    <w:p w:rsidR="00C30E5F" w:rsidRDefault="00063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абзац восемнадцатый изложить в следующей редакции:</w:t>
      </w:r>
    </w:p>
    <w:p w:rsidR="00C30E5F" w:rsidRDefault="00063FC0">
      <w:pPr>
        <w:pStyle w:val="ConsPlusNormal"/>
        <w:tabs>
          <w:tab w:val="left" w:pos="851"/>
        </w:tabs>
        <w:ind w:firstLine="709"/>
        <w:jc w:val="both"/>
      </w:pPr>
      <w:r>
        <w:t>«</w:t>
      </w:r>
      <w:r>
        <w:rPr>
          <w:lang w:val="en-US"/>
        </w:rPr>
        <w:t>I</w:t>
      </w:r>
      <w:r>
        <w:t xml:space="preserve"> – количество должностных окладов и окладов денежного содержания для формирования фонда оплаты труда в соответствии с законодательством об оплате труда муниципальных служащих, но не более количества должностных окладов и окладов денежного содержания для формирования фонда оплаты труда государственных гражданских служащих Ненецкого автономного округа, за исключением количества должностных окладов, предусмотренных для выплаты ежемесячной процентной надбавки    к должностному окладу за работу со сведениями, составляющими государственную тайну;».</w:t>
      </w:r>
    </w:p>
    <w:p w:rsidR="00C30E5F" w:rsidRPr="00063FC0" w:rsidRDefault="00063FC0">
      <w:pPr>
        <w:spacing w:before="240" w:after="24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2</w:t>
      </w:r>
    </w:p>
    <w:p w:rsidR="00C30E5F" w:rsidRDefault="00063FC0">
      <w:pPr>
        <w:spacing w:after="100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Настоящий закон вступает в силу по истечении десяти дней после дня его официального опубликования</w:t>
      </w:r>
      <w:r>
        <w:rPr>
          <w:rFonts w:ascii="Times New Roman" w:hAnsi="Times New Roman" w:cs="Times New Roman"/>
          <w:sz w:val="24"/>
          <w:szCs w:val="24"/>
        </w:rPr>
        <w:t xml:space="preserve"> и распространяет свое действие на правоотношения, возникшие с 1 января 2026 года.</w:t>
      </w:r>
    </w:p>
    <w:tbl>
      <w:tblPr>
        <w:tblW w:w="968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535"/>
        <w:gridCol w:w="5151"/>
      </w:tblGrid>
      <w:tr w:rsidR="00C30E5F">
        <w:trPr>
          <w:trHeight w:val="131"/>
        </w:trPr>
        <w:tc>
          <w:tcPr>
            <w:tcW w:w="4535" w:type="dxa"/>
          </w:tcPr>
          <w:p w:rsidR="00C30E5F" w:rsidRDefault="00063FC0">
            <w:pPr>
              <w:widowControl w:val="0"/>
              <w:tabs>
                <w:tab w:val="left" w:pos="3686"/>
                <w:tab w:val="left" w:pos="38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Председатель Собрания депутатов</w:t>
            </w:r>
          </w:p>
          <w:p w:rsidR="00C30E5F" w:rsidRDefault="00063FC0">
            <w:pPr>
              <w:widowControl w:val="0"/>
              <w:tabs>
                <w:tab w:val="left" w:pos="3686"/>
                <w:tab w:val="left" w:pos="3849"/>
              </w:tabs>
              <w:spacing w:after="10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Ненецкого автономного округа</w:t>
            </w:r>
          </w:p>
          <w:p w:rsidR="00C30E5F" w:rsidRDefault="00063FC0">
            <w:pPr>
              <w:spacing w:before="998" w:after="998" w:line="240" w:lineRule="auto"/>
              <w:ind w:right="601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А.П. Чурсанов</w:t>
            </w:r>
          </w:p>
        </w:tc>
        <w:tc>
          <w:tcPr>
            <w:tcW w:w="5151" w:type="dxa"/>
          </w:tcPr>
          <w:p w:rsidR="00C30E5F" w:rsidRDefault="00063FC0">
            <w:pPr>
              <w:widowControl w:val="0"/>
              <w:spacing w:after="0" w:line="240" w:lineRule="auto"/>
              <w:ind w:left="907" w:right="227" w:firstLine="34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Губернатор</w:t>
            </w:r>
          </w:p>
          <w:p w:rsidR="00C30E5F" w:rsidRDefault="00063FC0">
            <w:pPr>
              <w:widowControl w:val="0"/>
              <w:tabs>
                <w:tab w:val="left" w:pos="3833"/>
                <w:tab w:val="left" w:pos="4287"/>
              </w:tabs>
              <w:spacing w:after="1000" w:line="240" w:lineRule="auto"/>
              <w:ind w:left="136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Ненецкого автономного округа          </w:t>
            </w:r>
          </w:p>
          <w:p w:rsidR="00C30E5F" w:rsidRDefault="00063FC0">
            <w:pPr>
              <w:widowControl w:val="0"/>
              <w:tabs>
                <w:tab w:val="left" w:pos="3720"/>
                <w:tab w:val="left" w:pos="4479"/>
              </w:tabs>
              <w:spacing w:before="998" w:after="998" w:line="240" w:lineRule="auto"/>
              <w:ind w:left="113" w:right="227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И.А.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Гехт</w:t>
            </w:r>
            <w:proofErr w:type="spellEnd"/>
          </w:p>
          <w:p w:rsidR="00C30E5F" w:rsidRDefault="00C30E5F">
            <w:pPr>
              <w:widowControl w:val="0"/>
              <w:tabs>
                <w:tab w:val="left" w:pos="3720"/>
                <w:tab w:val="left" w:pos="3861"/>
              </w:tabs>
              <w:spacing w:after="0" w:line="240" w:lineRule="auto"/>
              <w:ind w:right="1025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30E5F" w:rsidRDefault="00063FC0">
      <w:pPr>
        <w:widowControl w:val="0"/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г. Нарьян-Мар</w:t>
      </w:r>
    </w:p>
    <w:p w:rsidR="00C30E5F" w:rsidRDefault="00063FC0">
      <w:pPr>
        <w:widowControl w:val="0"/>
        <w:shd w:val="clear" w:color="auto" w:fill="FFFFFF"/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«____» _____________ 20__ года</w:t>
      </w:r>
    </w:p>
    <w:p w:rsidR="00063FC0" w:rsidRDefault="00063FC0">
      <w:pPr>
        <w:widowControl w:val="0"/>
        <w:shd w:val="clear" w:color="auto" w:fill="FFFFFF"/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№</w:t>
      </w:r>
      <w:r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___-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оз</w:t>
      </w:r>
      <w:proofErr w:type="spellEnd"/>
    </w:p>
    <w:p w:rsidR="00063FC0" w:rsidRDefault="00063FC0">
      <w:pPr>
        <w:widowControl w:val="0"/>
        <w:shd w:val="clear" w:color="auto" w:fill="FFFFFF"/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  <w:sectPr w:rsidR="00063FC0">
          <w:footerReference w:type="even" r:id="rId7"/>
          <w:footerReference w:type="default" r:id="rId8"/>
          <w:footerReference w:type="first" r:id="rId9"/>
          <w:pgSz w:w="11906" w:h="16838"/>
          <w:pgMar w:top="1134" w:right="1134" w:bottom="1215" w:left="1134" w:header="0" w:footer="790" w:gutter="0"/>
          <w:cols w:space="720"/>
          <w:formProt w:val="0"/>
          <w:titlePg/>
          <w:docGrid w:linePitch="360" w:charSpace="4096"/>
        </w:sectPr>
      </w:pPr>
    </w:p>
    <w:p w:rsidR="00063FC0" w:rsidRPr="00063FC0" w:rsidRDefault="00063FC0" w:rsidP="00063FC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063FC0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Пояснительная записка</w:t>
      </w:r>
    </w:p>
    <w:p w:rsidR="00063FC0" w:rsidRPr="00063FC0" w:rsidRDefault="00063FC0" w:rsidP="00063FC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063FC0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к проекту закона Ненецкого автономного округа</w:t>
      </w:r>
    </w:p>
    <w:p w:rsidR="00063FC0" w:rsidRPr="00063FC0" w:rsidRDefault="00063FC0" w:rsidP="00063FC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063FC0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«О внесении изменений в пункт 1 Приложения к закону</w:t>
      </w:r>
    </w:p>
    <w:p w:rsidR="00063FC0" w:rsidRPr="00063FC0" w:rsidRDefault="00063FC0" w:rsidP="00063FC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063FC0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Ненецкого автономного округа «Об административных комиссиях </w:t>
      </w:r>
    </w:p>
    <w:p w:rsidR="00063FC0" w:rsidRPr="00063FC0" w:rsidRDefault="00063FC0" w:rsidP="00063FC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063FC0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в Ненецком автономном округе и наделении органов местного самоуправления муниципальных образований Ненецкого автономного округа отдельными государственными полномочиями Ненецкого автономного округа в сфере административных правонарушений»</w:t>
      </w:r>
    </w:p>
    <w:p w:rsidR="00063FC0" w:rsidRPr="00063FC0" w:rsidRDefault="00063FC0" w:rsidP="00063FC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063FC0" w:rsidRPr="00063FC0" w:rsidRDefault="00063FC0" w:rsidP="00063FC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063FC0" w:rsidRPr="00063FC0" w:rsidRDefault="00063FC0" w:rsidP="00063FC0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63FC0">
        <w:rPr>
          <w:rFonts w:ascii="Times New Roman" w:eastAsiaTheme="minorHAnsi" w:hAnsi="Times New Roman" w:cs="Times New Roman"/>
          <w:sz w:val="26"/>
          <w:szCs w:val="26"/>
          <w:lang w:eastAsia="en-US"/>
        </w:rPr>
        <w:t>Субъект правотворческой инициативы: Губернатор Ненецкого автономного округа.</w:t>
      </w:r>
    </w:p>
    <w:p w:rsidR="00063FC0" w:rsidRPr="00063FC0" w:rsidRDefault="00063FC0" w:rsidP="00063FC0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063FC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Разработчик проекта: </w:t>
      </w:r>
      <w:r w:rsidRPr="00063FC0">
        <w:rPr>
          <w:rFonts w:ascii="Times New Roman" w:eastAsiaTheme="minorHAnsi" w:hAnsi="Times New Roman"/>
          <w:sz w:val="26"/>
          <w:szCs w:val="26"/>
          <w:lang w:eastAsia="en-US"/>
        </w:rPr>
        <w:t>комитет финансирования Аппарата Администрации Ненецкого автономного округа.</w:t>
      </w:r>
    </w:p>
    <w:p w:rsidR="00063FC0" w:rsidRPr="00063FC0" w:rsidRDefault="00063FC0" w:rsidP="00063FC0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63FC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Проектом закона предлагается внести изменения в методику расчета общего объема субвенций, предоставляемых местным бюджетам из окружного бюджета </w:t>
      </w:r>
      <w:r w:rsidRPr="00063FC0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  <w:t>для осуществления органами местного самоуправления муниципальных образований Ненецкого автономного округа отдельных государственных полномочий в сфере административных правонарушений в части компенсации расходов на оплату стоимости проезда и провоза багажа к месту использования отпуска и обратно и фонда оплаты труда ответственного секретаря административной комиссии муниципального образования «Городской округ «Город Нарьян-Мар».</w:t>
      </w:r>
    </w:p>
    <w:p w:rsidR="00063FC0" w:rsidRPr="00063FC0" w:rsidRDefault="00063FC0" w:rsidP="00063FC0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63FC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Положением о компенсации расходов на оплату стоимости проезда и провоза багажа к месту использования отпуска и обратно, утвержденным постановлением Администрации Ненецкого автономного округа от 28.08.2024 № 202-п, увеличился максимальный размер компенсации расходов на работника и на каждого неработающего члена семьи работника. В связи с изменениями предлагается уточнить размер компенсации расходов на оплату стоимости проезда и провоза багажа к месту использования отпуска и обратно для расчета субвенции на очередной финансовый год </w:t>
      </w:r>
      <w:r w:rsidRPr="00063FC0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  <w:t>и плановый период.</w:t>
      </w:r>
    </w:p>
    <w:p w:rsidR="00063FC0" w:rsidRPr="00063FC0" w:rsidRDefault="00063FC0" w:rsidP="00063FC0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63FC0">
        <w:rPr>
          <w:rFonts w:ascii="Times New Roman" w:eastAsiaTheme="minorHAnsi" w:hAnsi="Times New Roman" w:cs="Times New Roman"/>
          <w:sz w:val="26"/>
          <w:szCs w:val="26"/>
          <w:lang w:eastAsia="en-US"/>
        </w:rPr>
        <w:t>Изменения в части фонда оплаты труда ответственного секретаря административной комиссии вносятся в связи с изменением порядка формирования фонда оплаты труда муниципальных служащих с 01.01.2026.</w:t>
      </w:r>
    </w:p>
    <w:p w:rsidR="00063FC0" w:rsidRPr="00063FC0" w:rsidRDefault="00063FC0" w:rsidP="00063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FC0">
        <w:rPr>
          <w:rFonts w:ascii="Times New Roman" w:eastAsiaTheme="minorHAnsi" w:hAnsi="Times New Roman"/>
          <w:sz w:val="26"/>
          <w:szCs w:val="26"/>
          <w:lang w:eastAsia="en-US"/>
        </w:rPr>
        <w:t>П</w:t>
      </w:r>
      <w:r w:rsidRPr="00063FC0">
        <w:rPr>
          <w:rFonts w:ascii="Times New Roman" w:eastAsia="Times New Roman" w:hAnsi="Times New Roman" w:cs="Times New Roman"/>
          <w:sz w:val="26"/>
          <w:szCs w:val="26"/>
        </w:rPr>
        <w:t>ринятие проекта закона округа потребует дополнительных затрат из окружного бюджета в 2026 году 48 700,00 рублей</w:t>
      </w:r>
      <w:r w:rsidRPr="00063FC0">
        <w:rPr>
          <w:rFonts w:ascii="Times New Roman" w:eastAsiaTheme="minorHAnsi" w:hAnsi="Times New Roman"/>
          <w:sz w:val="26"/>
          <w:szCs w:val="26"/>
          <w:lang w:eastAsia="en-US"/>
        </w:rPr>
        <w:t xml:space="preserve">, в 2027 году 65 400,00 рублей, в 2028 году </w:t>
      </w:r>
      <w:r w:rsidRPr="00063FC0">
        <w:rPr>
          <w:rFonts w:ascii="Times New Roman" w:eastAsiaTheme="minorHAnsi" w:hAnsi="Times New Roman"/>
          <w:sz w:val="26"/>
          <w:szCs w:val="26"/>
          <w:lang w:eastAsia="en-US"/>
        </w:rPr>
        <w:br/>
        <w:t>85 400,00 рублей.</w:t>
      </w:r>
    </w:p>
    <w:p w:rsidR="00063FC0" w:rsidRPr="00063FC0" w:rsidRDefault="00063FC0" w:rsidP="00063FC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FC0">
        <w:rPr>
          <w:rFonts w:ascii="Times New Roman" w:eastAsia="Times New Roman" w:hAnsi="Times New Roman" w:cs="Times New Roman"/>
          <w:sz w:val="26"/>
          <w:szCs w:val="26"/>
        </w:rPr>
        <w:t xml:space="preserve">Проект закона не затрагивает вопросы осуществления предпринимательской </w:t>
      </w:r>
      <w:r w:rsidRPr="00063FC0">
        <w:rPr>
          <w:rFonts w:ascii="Times New Roman" w:eastAsia="Times New Roman" w:hAnsi="Times New Roman" w:cs="Times New Roman"/>
          <w:sz w:val="26"/>
          <w:szCs w:val="26"/>
        </w:rPr>
        <w:br/>
        <w:t>и инвестиционной деятельности, оценке регулирующего воздействия не подлежит.</w:t>
      </w:r>
    </w:p>
    <w:p w:rsidR="00063FC0" w:rsidRPr="00063FC0" w:rsidRDefault="00063FC0" w:rsidP="00063F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63FC0">
        <w:rPr>
          <w:rFonts w:ascii="Times New Roman" w:eastAsia="Times New Roman" w:hAnsi="Times New Roman" w:cs="Times New Roman"/>
          <w:sz w:val="26"/>
          <w:szCs w:val="26"/>
        </w:rPr>
        <w:t xml:space="preserve">Принятие представленного </w:t>
      </w:r>
      <w:r w:rsidRPr="00063FC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проекта закона </w:t>
      </w:r>
      <w:r w:rsidRPr="00063FC0">
        <w:rPr>
          <w:rFonts w:ascii="Times New Roman" w:eastAsia="Times New Roman" w:hAnsi="Times New Roman" w:cs="Times New Roman"/>
          <w:sz w:val="26"/>
          <w:szCs w:val="26"/>
        </w:rPr>
        <w:t>потребует внесения изменений в закон Ненецкого автономного округа «Об окружном бюджете на 2026 год и на плановый период 2027 и 2028 годов».</w:t>
      </w:r>
    </w:p>
    <w:p w:rsidR="00063FC0" w:rsidRPr="00063FC0" w:rsidRDefault="00063FC0" w:rsidP="00063FC0">
      <w:pPr>
        <w:spacing w:after="0" w:line="240" w:lineRule="auto"/>
        <w:ind w:firstLine="709"/>
        <w:jc w:val="both"/>
        <w:rPr>
          <w:rFonts w:eastAsiaTheme="minorHAnsi"/>
          <w:szCs w:val="26"/>
          <w:lang w:eastAsia="en-US"/>
        </w:rPr>
      </w:pPr>
      <w:r w:rsidRPr="00063FC0">
        <w:rPr>
          <w:rFonts w:ascii="Times New Roman" w:eastAsiaTheme="minorHAnsi" w:hAnsi="Times New Roman" w:cs="Times New Roman"/>
          <w:sz w:val="26"/>
          <w:szCs w:val="26"/>
          <w:lang w:eastAsia="en-US"/>
        </w:rPr>
        <w:t>Необходимость в проведении общественного обсуждения проекта закона отсутствует.</w:t>
      </w:r>
    </w:p>
    <w:p w:rsidR="00063FC0" w:rsidRDefault="00063FC0">
      <w:pPr>
        <w:widowControl w:val="0"/>
        <w:shd w:val="clear" w:color="auto" w:fill="FFFFFF"/>
        <w:spacing w:after="0" w:line="240" w:lineRule="auto"/>
        <w:ind w:right="-2"/>
        <w:jc w:val="both"/>
        <w:rPr>
          <w:szCs w:val="24"/>
        </w:rPr>
        <w:sectPr w:rsidR="00063FC0" w:rsidSect="00BD24AB">
          <w:headerReference w:type="even" r:id="rId10"/>
          <w:headerReference w:type="default" r:id="rId11"/>
          <w:headerReference w:type="first" r:id="rId12"/>
          <w:pgSz w:w="11906" w:h="16838"/>
          <w:pgMar w:top="1134" w:right="567" w:bottom="1134" w:left="1134" w:header="709" w:footer="0" w:gutter="0"/>
          <w:cols w:space="720"/>
          <w:formProt w:val="0"/>
          <w:titlePg/>
          <w:docGrid w:linePitch="360" w:charSpace="4096"/>
        </w:sectPr>
      </w:pPr>
    </w:p>
    <w:p w:rsidR="00C30E5F" w:rsidRDefault="00063FC0">
      <w:pPr>
        <w:widowControl w:val="0"/>
        <w:shd w:val="clear" w:color="auto" w:fill="FFFFFF"/>
        <w:spacing w:after="0" w:line="240" w:lineRule="auto"/>
        <w:ind w:right="-2"/>
        <w:jc w:val="both"/>
        <w:rPr>
          <w:szCs w:val="24"/>
        </w:rPr>
      </w:pPr>
      <w:r>
        <w:rPr>
          <w:noProof/>
        </w:rPr>
        <w:drawing>
          <wp:inline distT="0" distB="0" distL="0" distR="0" wp14:anchorId="5E3CE56A" wp14:editId="2A317B77">
            <wp:extent cx="9518319" cy="67332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19416" cy="6734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0E5F" w:rsidSect="00063FC0">
      <w:pgSz w:w="16838" w:h="11906" w:orient="landscape"/>
      <w:pgMar w:top="1134" w:right="1134" w:bottom="567" w:left="1134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5E6" w:rsidRDefault="00063FC0">
      <w:pPr>
        <w:spacing w:after="0" w:line="240" w:lineRule="auto"/>
      </w:pPr>
      <w:r>
        <w:separator/>
      </w:r>
    </w:p>
  </w:endnote>
  <w:endnote w:type="continuationSeparator" w:id="0">
    <w:p w:rsidR="007835E6" w:rsidRDefault="00063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E5F" w:rsidRDefault="00C30E5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74829"/>
      <w:docPartObj>
        <w:docPartGallery w:val="Page Numbers (Bottom of Page)"/>
        <w:docPartUnique/>
      </w:docPartObj>
    </w:sdtPr>
    <w:sdtEndPr/>
    <w:sdtContent>
      <w:p w:rsidR="00C30E5F" w:rsidRDefault="00063FC0">
        <w:pPr>
          <w:pStyle w:val="a4"/>
          <w:jc w:val="center"/>
          <w:rPr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5320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30E5F" w:rsidRDefault="00C30E5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E5F" w:rsidRDefault="00C30E5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5E6" w:rsidRDefault="00063FC0">
      <w:pPr>
        <w:spacing w:after="0" w:line="240" w:lineRule="auto"/>
      </w:pPr>
      <w:r>
        <w:separator/>
      </w:r>
    </w:p>
  </w:footnote>
  <w:footnote w:type="continuationSeparator" w:id="0">
    <w:p w:rsidR="007835E6" w:rsidRDefault="00063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349" w:rsidRDefault="0017532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09094"/>
      <w:docPartObj>
        <w:docPartGallery w:val="Page Numbers (Top of Page)"/>
        <w:docPartUnique/>
      </w:docPartObj>
    </w:sdtPr>
    <w:sdtEndPr/>
    <w:sdtContent>
      <w:p w:rsidR="00801349" w:rsidRDefault="00063FC0">
        <w:pPr>
          <w:pStyle w:val="a9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0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801349" w:rsidRDefault="00175320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349" w:rsidRDefault="0017532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E5F"/>
    <w:rsid w:val="000614EC"/>
    <w:rsid w:val="00063FC0"/>
    <w:rsid w:val="00175320"/>
    <w:rsid w:val="007835E6"/>
    <w:rsid w:val="00C3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DE61E7-BC86-40A3-9999-9105654B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B4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qFormat/>
    <w:rsid w:val="00091613"/>
  </w:style>
  <w:style w:type="character" w:styleId="a5">
    <w:name w:val="Placeholder Text"/>
    <w:basedOn w:val="a0"/>
    <w:uiPriority w:val="99"/>
    <w:semiHidden/>
    <w:qFormat/>
    <w:rsid w:val="0032253D"/>
    <w:rPr>
      <w:color w:val="808080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32253D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761E60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Astra Serif" w:hAnsi="PT Astra Serif" w:cs="Free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f">
    <w:name w:val="List Paragraph"/>
    <w:basedOn w:val="a"/>
    <w:uiPriority w:val="34"/>
    <w:qFormat/>
    <w:rsid w:val="00091613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4">
    <w:name w:val="footer"/>
    <w:basedOn w:val="a"/>
    <w:link w:val="a3"/>
    <w:uiPriority w:val="99"/>
    <w:unhideWhenUsed/>
    <w:rsid w:val="00091613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alloon Text"/>
    <w:basedOn w:val="a"/>
    <w:link w:val="a6"/>
    <w:uiPriority w:val="99"/>
    <w:semiHidden/>
    <w:unhideWhenUsed/>
    <w:qFormat/>
    <w:rsid w:val="0032253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8"/>
    <w:uiPriority w:val="99"/>
    <w:unhideWhenUsed/>
    <w:rsid w:val="00761E6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rsid w:val="007F20D8"/>
    <w:pPr>
      <w:widowControl w:val="0"/>
    </w:pPr>
    <w:rPr>
      <w:rFonts w:ascii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semiHidden/>
    <w:unhideWhenUsed/>
    <w:qFormat/>
    <w:rsid w:val="001E424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af1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B7321-AF25-4C5F-B91A-7ADC5CB21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voskolkova</dc:creator>
  <dc:description/>
  <cp:lastModifiedBy>Людмила Александровна Карпушева</cp:lastModifiedBy>
  <cp:revision>4</cp:revision>
  <cp:lastPrinted>2026-06-08T11:57:00Z</cp:lastPrinted>
  <dcterms:created xsi:type="dcterms:W3CDTF">2026-09-16T12:32:00Z</dcterms:created>
  <dcterms:modified xsi:type="dcterms:W3CDTF">2026-09-16T13:07:00Z</dcterms:modified>
  <dc:language>ru-RU</dc:language>
</cp:coreProperties>
</file>