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Пояснительная записка</w:t>
      </w:r>
    </w:p>
    <w:p w14:paraId="03000000">
      <w:pPr>
        <w:pStyle w:val="Style_3"/>
        <w:widowControl w:val="1"/>
        <w:spacing w:after="0" w:before="0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к проекту закона Ненецкого автономного округа</w:t>
      </w:r>
    </w:p>
    <w:p w14:paraId="04000000">
      <w:pPr>
        <w:pStyle w:val="Style_3"/>
        <w:widowControl w:val="1"/>
        <w:spacing w:after="0" w:before="0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«О переводе земельных участков из категории земель сельскохозяйственного назначения в другую категорию земель»</w:t>
      </w:r>
    </w:p>
    <w:p w14:paraId="05000000">
      <w:pPr>
        <w:pStyle w:val="Style_4"/>
        <w:widowControl w:val="1"/>
        <w:spacing w:after="0" w:before="0"/>
        <w:ind/>
        <w:contextualSpacing w:val="1"/>
        <w:rPr>
          <w:rFonts w:ascii="XO Thames" w:hAnsi="XO Thames"/>
          <w:b w:val="1"/>
          <w:sz w:val="26"/>
        </w:rPr>
      </w:pPr>
    </w:p>
    <w:p w14:paraId="06000000">
      <w:pPr>
        <w:pStyle w:val="Style_5"/>
        <w:widowControl w:val="1"/>
        <w:spacing w:after="0" w:before="0"/>
        <w:ind w:firstLine="709" w:left="0"/>
        <w:jc w:val="both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Субъект правотворческой инициативы:</w:t>
      </w:r>
      <w:r>
        <w:rPr>
          <w:rFonts w:ascii="XO Thames" w:hAnsi="XO Thames"/>
          <w:b w:val="0"/>
          <w:sz w:val="26"/>
        </w:rPr>
        <w:t xml:space="preserve"> губернатор </w:t>
      </w:r>
      <w:r>
        <w:rPr>
          <w:rFonts w:ascii="XO Thames" w:hAnsi="XO Thames"/>
          <w:b w:val="0"/>
          <w:sz w:val="26"/>
        </w:rPr>
        <w:t>Ненецкого автономного округа.</w:t>
      </w:r>
    </w:p>
    <w:p w14:paraId="07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b w:val="0"/>
          <w:sz w:val="26"/>
        </w:rPr>
        <w:t>Разработчик проекта: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5"/>
          <w:sz w:val="26"/>
        </w:rPr>
        <w:t xml:space="preserve">Департамент имущественных, земельных отношений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градостроительства Ненецкого автономного округа.</w:t>
      </w:r>
    </w:p>
    <w:p w14:paraId="08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В соответствии с частью 1 статьи 3 Федерального закона </w:t>
      </w:r>
      <w:r>
        <w:rPr>
          <w:rFonts w:ascii="XO Thames" w:hAnsi="XO Thames"/>
          <w:spacing w:val="5"/>
          <w:sz w:val="26"/>
        </w:rPr>
        <w:t>от 21.12.2004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172-ФЗ «О переводе земель или земельных участков </w:t>
      </w:r>
      <w:r>
        <w:rPr>
          <w:rFonts w:ascii="XO Thames" w:hAnsi="XO Thames"/>
          <w:spacing w:val="5"/>
          <w:sz w:val="26"/>
        </w:rPr>
        <w:t xml:space="preserve">из одной категории  в другую»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(далее – Федеральный закон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172-ФЗ) </w:t>
      </w:r>
      <w:r>
        <w:rPr>
          <w:rFonts w:ascii="XO Thames" w:hAnsi="XO Thames"/>
          <w:spacing w:val="5"/>
          <w:sz w:val="26"/>
        </w:rPr>
        <w:t xml:space="preserve">в адрес Департамента имущественных, земельных отношений </w:t>
      </w:r>
      <w:r>
        <w:rPr>
          <w:rFonts w:ascii="XO Thames" w:hAnsi="XO Thames"/>
          <w:spacing w:val="5"/>
          <w:sz w:val="26"/>
        </w:rPr>
        <w:t xml:space="preserve">и градостроительства Ненецкого автономного округа 14.08.2026 обратилось общество с ограниченной ответственностью </w:t>
      </w:r>
      <w:r>
        <w:rPr>
          <w:rFonts w:ascii="XO Thames" w:hAnsi="XO Thames"/>
          <w:spacing w:val="5"/>
          <w:sz w:val="26"/>
        </w:rPr>
        <w:t xml:space="preserve">«ЛУКОЙЛ-ПЕРМЬ»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(далее –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«ЛУКОЙЛ-ПЕРМЬ», общество) </w:t>
      </w:r>
      <w:r>
        <w:rPr>
          <w:rFonts w:ascii="XO Thames" w:hAnsi="XO Thames"/>
          <w:spacing w:val="5"/>
          <w:sz w:val="26"/>
        </w:rPr>
        <w:t>с ходатайством о переводе 3</w:t>
      </w:r>
      <w:r>
        <w:rPr>
          <w:rFonts w:ascii="XO Thames" w:hAnsi="XO Thames"/>
          <w:spacing w:val="5"/>
          <w:sz w:val="26"/>
        </w:rPr>
        <w:t xml:space="preserve"> земельных участков </w:t>
      </w:r>
      <w:r>
        <w:rPr>
          <w:rFonts w:ascii="XO Thames" w:hAnsi="XO Thames"/>
          <w:spacing w:val="5"/>
          <w:sz w:val="26"/>
        </w:rPr>
        <w:t>в целях недропользования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– земли промышленности):</w:t>
      </w:r>
    </w:p>
    <w:p w14:paraId="09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1) кадастровый номер 83:00:070003:5538, площадь 1 663 кв. м, местоположение: Российская Федерация, Ненецкий автономный округ;</w:t>
      </w:r>
    </w:p>
    <w:p w14:paraId="0A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2) кадастровый номер 83:00:070003:5539, площадь 3 132 кв. м, местоположение: Российская Федерация, Ненецкий автономный округ;</w:t>
      </w:r>
    </w:p>
    <w:p w14:paraId="0B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3) кадастровый номер 83:00:070003:5540, площадь 74 кв. м, местоположение: Российская Федерация, Ненецкий автономный округ.</w:t>
      </w:r>
    </w:p>
    <w:p w14:paraId="0C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Полномочия Макаровой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Е.В. как представителя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на момент подписания ходатайства подтверждены.</w:t>
      </w:r>
    </w:p>
    <w:p w14:paraId="0D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Указанные земельные участки образованы из земельного участка </w:t>
      </w:r>
      <w:r>
        <w:rPr>
          <w:rFonts w:ascii="XO Thames" w:hAnsi="XO Thames"/>
          <w:spacing w:val="5"/>
          <w:sz w:val="26"/>
        </w:rPr>
        <w:t xml:space="preserve">с кадастровым номером 83:00:070003:3636, арендатором которого является </w:t>
      </w:r>
      <w:r>
        <w:rPr>
          <w:rFonts w:ascii="XO Thames" w:hAnsi="XO Thames"/>
          <w:spacing w:val="5"/>
          <w:sz w:val="26"/>
        </w:rPr>
        <w:t xml:space="preserve">СПК колхоз «Ижемский оленевод и Ко» (далее – СПК, кооператив). На основании распоряжения Управления имущественных и земельных отношений Ненецкого автономного округа от 11.08.2025 </w:t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1512 «О предварительном согласовании предоставления земельных участков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«ЛУКОЙЛ-ПЕРМЬ» общей площадью 4 869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кв.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м.» </w:t>
      </w:r>
      <w:r>
        <w:rPr>
          <w:rFonts w:ascii="XO Thames" w:hAnsi="XO Thames"/>
          <w:spacing w:val="5"/>
          <w:sz w:val="26"/>
        </w:rPr>
        <w:t xml:space="preserve">в соответствии </w:t>
      </w:r>
      <w:r>
        <w:rPr>
          <w:rFonts w:ascii="XO Thames" w:hAnsi="XO Thames"/>
          <w:spacing w:val="5"/>
          <w:sz w:val="26"/>
        </w:rPr>
        <w:t xml:space="preserve">с подпунктом </w:t>
      </w:r>
      <w:r>
        <w:rPr>
          <w:rFonts w:ascii="XO Thames" w:hAnsi="XO Thames"/>
          <w:spacing w:val="5"/>
          <w:sz w:val="26"/>
        </w:rPr>
        <w:t xml:space="preserve">20 пункта 2 статьи 39.6, пунктом 16 </w:t>
      </w:r>
      <w:r>
        <w:rPr>
          <w:rFonts w:ascii="XO Thames" w:hAnsi="XO Thames"/>
          <w:spacing w:val="5"/>
          <w:sz w:val="26"/>
        </w:rPr>
        <w:t xml:space="preserve">статьи 39.15 Земельного кодекса Российской Федерации </w:t>
      </w:r>
      <w:r>
        <w:rPr>
          <w:rFonts w:ascii="XO Thames" w:hAnsi="XO Thames"/>
          <w:spacing w:val="5"/>
          <w:sz w:val="26"/>
        </w:rPr>
        <w:t>(далее – ЗК РФ)</w:t>
      </w:r>
      <w:r>
        <w:rPr>
          <w:rFonts w:ascii="XO Thames" w:hAnsi="XO Thames"/>
          <w:spacing w:val="5"/>
          <w:sz w:val="26"/>
        </w:rPr>
        <w:t xml:space="preserve"> указанные земельные участки </w:t>
      </w:r>
      <w:r>
        <w:rPr>
          <w:rFonts w:ascii="XO Thames" w:hAnsi="XO Thames"/>
          <w:spacing w:val="5"/>
          <w:sz w:val="26"/>
        </w:rPr>
        <w:t xml:space="preserve">подлежат предоставлению </w:t>
      </w: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 </w:t>
      </w:r>
      <w:r>
        <w:rPr>
          <w:rFonts w:ascii="XO Thames" w:hAnsi="XO Thames"/>
          <w:spacing w:val="5"/>
          <w:sz w:val="26"/>
        </w:rPr>
        <w:t xml:space="preserve">в аренду без проведения торгов по виду разрешенного использования «Разведка и добыча полезных ископаемых» под реконструкцию нефтесборного коллектора </w:t>
      </w:r>
      <w:r>
        <w:rPr>
          <w:rFonts w:ascii="XO Thames" w:hAnsi="XO Thames"/>
          <w:spacing w:val="5"/>
          <w:sz w:val="26"/>
        </w:rPr>
        <w:t xml:space="preserve">от Центрального куста скважин до устройства пуска шара </w:t>
      </w:r>
      <w:r>
        <w:rPr>
          <w:rFonts w:ascii="XO Thames" w:hAnsi="XO Thames"/>
          <w:spacing w:val="5"/>
          <w:sz w:val="26"/>
        </w:rPr>
        <w:t>ЦПС Южно-Шапкинского месторождения.</w:t>
      </w:r>
    </w:p>
    <w:p w14:paraId="0E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 осуществляет недропользование </w:t>
      </w:r>
      <w:r>
        <w:rPr>
          <w:rFonts w:ascii="XO Thames" w:hAnsi="XO Thames"/>
          <w:spacing w:val="5"/>
          <w:sz w:val="26"/>
        </w:rPr>
        <w:t xml:space="preserve">в соответствии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с лицензией на пользование недрами НРМ 021775 НЭ.</w:t>
      </w:r>
    </w:p>
    <w:p w14:paraId="0F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Проектная документация «Реконструкция нефтесборного коллектора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от Центрального куста скважин до устройства пуска шара ЦПС Южно-Шапкинского месторождения» получила положительное заключение государственной экологической экспертизы, которое утверждено приказом Межрегионального управления Росприроднадзора по Московской и Смоленской областям от 07.07.2026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04-11-6-Э/99.</w:t>
      </w:r>
    </w:p>
    <w:p w14:paraId="10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Проект рекультивации земельных участков с кадастровыми номерами 83:00:070003:553, 83:00:070003:5539 и 83:00:070003:5540 структурно входит в состав раздела 6 «Мероприятия по охране окружающей среды» книги 3 «Оценка воздействия на окружающую среду» указанной проектной документации. В соответствии с </w:t>
      </w:r>
      <w:r>
        <w:rPr>
          <w:rFonts w:ascii="XO Thames" w:hAnsi="XO Thames"/>
          <w:spacing w:val="5"/>
          <w:sz w:val="26"/>
        </w:rPr>
        <w:t xml:space="preserve">пунктом 19 Правил проведения рекультивации </w:t>
      </w:r>
      <w:r>
        <w:rPr>
          <w:rFonts w:ascii="XO Thames" w:hAnsi="XO Thames"/>
          <w:spacing w:val="5"/>
          <w:sz w:val="26"/>
        </w:rPr>
        <w:t>и консервации земель, утвержденных постановлением Правительства Российской Федерации от 29.05.2025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781, проект рекультивации не направлялся </w:t>
      </w:r>
      <w:r>
        <w:rPr>
          <w:rFonts w:ascii="XO Thames" w:hAnsi="XO Thames"/>
          <w:spacing w:val="5"/>
          <w:sz w:val="26"/>
        </w:rPr>
        <w:t xml:space="preserve">на согласование в Управление имущественных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земельных отношений Ненецкого автономного округа либо в Департамент имущественных, земельных отношений и градостроительства Ненецкого автономного округа. Указанный проект рекультивации утвержден в установленном порядке.</w:t>
      </w:r>
    </w:p>
    <w:p w14:paraId="11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В соответствии с пунктом 5 части 4 статьи 2 Федерального закона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172-ФЗ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для принятия решения о переводе земельного участка </w:t>
      </w:r>
      <w:r>
        <w:rPr>
          <w:rFonts w:ascii="XO Thames" w:hAnsi="XO Thames"/>
          <w:spacing w:val="5"/>
          <w:sz w:val="26"/>
        </w:rPr>
        <w:t>из состава земель одной категории в другую правообладатель такого земельного участка должен выразить согласие на его перевод.</w:t>
      </w:r>
    </w:p>
    <w:p w14:paraId="12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Согласие СПК на перевод земельных участков с кадастровыми номерами 83:00:070003:5538, 83:00:070003:5539 и 83:00:070003:5540 выражено в заявлении, подписанном председателем кооператива.</w:t>
      </w:r>
    </w:p>
    <w:p w14:paraId="13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В соответствии с подпунктом 6 пункта 12.2 Устава кооператива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к исключительной компетенции общего собрания членов СПК относится рассмотрение и принятие решений по вопросу отчуждения земли и основных средств производства кооператива, их приобретение, а также совершение сделок, если решение по данному вопросу отнесено </w:t>
      </w:r>
      <w:r>
        <w:rPr>
          <w:rFonts w:ascii="XO Thames" w:hAnsi="XO Thames"/>
          <w:spacing w:val="5"/>
          <w:sz w:val="26"/>
        </w:rPr>
        <w:t>к компетенции общего собрания членов СПК.</w:t>
      </w:r>
    </w:p>
    <w:p w14:paraId="14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Согласие на перевод не влечет отчуждения земельных участков. </w:t>
      </w:r>
    </w:p>
    <w:p w14:paraId="15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ООО «ЛУКОЙЛ-ПЕРМЬ» об их предоставлении </w:t>
      </w:r>
      <w:r>
        <w:rPr>
          <w:rFonts w:ascii="XO Thames" w:hAnsi="XO Thames"/>
          <w:spacing w:val="5"/>
          <w:sz w:val="26"/>
        </w:rPr>
        <w:t>в аренду без проведения торгов в соответствии со статьей 39.17 ЗК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РФ </w:t>
      </w:r>
      <w:r>
        <w:rPr>
          <w:rFonts w:ascii="XO Thames" w:hAnsi="XO Thames"/>
          <w:spacing w:val="5"/>
          <w:sz w:val="26"/>
        </w:rPr>
        <w:t>в адрес кооператива не обращался.</w:t>
      </w:r>
    </w:p>
    <w:p w14:paraId="16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При указанных обстоятельствах и на основании подпункта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6 </w:t>
      </w:r>
      <w:r>
        <w:rPr>
          <w:rFonts w:ascii="XO Thames" w:hAnsi="XO Thames"/>
          <w:spacing w:val="5"/>
          <w:sz w:val="26"/>
        </w:rPr>
        <w:t>пункта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12.2,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пунктов 14.1–14.3 Устава СПК указанное согласие </w:t>
      </w:r>
      <w:r>
        <w:rPr>
          <w:rFonts w:ascii="XO Thames" w:hAnsi="XO Thames"/>
          <w:spacing w:val="5"/>
          <w:sz w:val="26"/>
        </w:rPr>
        <w:t xml:space="preserve">на перевод может быть подписано председателем кооператива </w:t>
      </w:r>
      <w:r>
        <w:rPr>
          <w:rFonts w:ascii="XO Thames" w:hAnsi="XO Thames"/>
          <w:spacing w:val="5"/>
          <w:sz w:val="26"/>
        </w:rPr>
        <w:t>как исполнительным органом СПК.</w:t>
      </w:r>
    </w:p>
    <w:p w14:paraId="17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Испрашиваемые к переводу земельные участки находятся </w:t>
      </w:r>
      <w:r>
        <w:rPr>
          <w:rFonts w:ascii="XO Thames" w:hAnsi="XO Thames"/>
          <w:spacing w:val="5"/>
          <w:sz w:val="26"/>
        </w:rPr>
        <w:t xml:space="preserve">за пределами территорий традиционного природопользования коренных малочисленных народов Севера. Законопроект согласован Департаментом внутренней политики Ненецкого автономного округа </w:t>
      </w:r>
      <w:r>
        <w:rPr>
          <w:rFonts w:ascii="XO Thames" w:hAnsi="XO Thames"/>
          <w:spacing w:val="5"/>
          <w:sz w:val="26"/>
        </w:rPr>
        <w:t xml:space="preserve">и рассмотрен на заседании общественного совета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при Департаменте имущественных, земельных отношений и градостроительства Ненецкого автономного округа Ненецкого автономного округа.</w:t>
      </w:r>
    </w:p>
    <w:p w14:paraId="18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По результатам рассмотрения ходатайства исполнительным органом субъекта Российской Федерации принимается акт о переводе земель или земельных участков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в составе таких земель из одной категории в другую либо акт об отказе в переводе земель или земельных участков в составе таких земель из одной категории в другую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с учетом особенностей, предусмотренных статьей 3 Федерального закона </w:t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172-ФЗ.</w:t>
      </w:r>
    </w:p>
    <w:p w14:paraId="19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Акт о переводе земель или земельных участков в отношении земель сельскохозяйственного назначения или земельных участков </w:t>
      </w:r>
      <w:r>
        <w:rPr>
          <w:rFonts w:ascii="XO Thames" w:hAnsi="XO Thames"/>
          <w:spacing w:val="5"/>
          <w:sz w:val="26"/>
        </w:rPr>
        <w:t xml:space="preserve">в составе таких земель,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за исключением земель, находящихся </w:t>
      </w:r>
      <w:r>
        <w:rPr>
          <w:rFonts w:ascii="XO Thames" w:hAnsi="XO Thames"/>
          <w:spacing w:val="5"/>
          <w:sz w:val="26"/>
        </w:rPr>
        <w:t xml:space="preserve">в федеральной собственности, принимается исполнительным органом субъекта Российской Федерации в соответствии с законом субъекта Российской Федерации, предусматривающим перевод земель сельскохозяйственного назначения или земельных участков в составе таких земель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из одной категории в другую (часть 9 статьи 3 Федерального закона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172-ФЗ).</w:t>
      </w:r>
    </w:p>
    <w:p w14:paraId="1A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Принятие законопроекта и его реализация </w:t>
      </w:r>
      <w:r>
        <w:rPr>
          <w:rFonts w:ascii="XO Thames" w:hAnsi="XO Thames"/>
          <w:spacing w:val="5"/>
          <w:sz w:val="26"/>
        </w:rPr>
        <w:t xml:space="preserve">не потребуют выделения средств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из окружного бюджета. </w:t>
      </w:r>
    </w:p>
    <w:p w14:paraId="1B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Проект закона не затрагивает вопросов осуществления предпринимательской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инвестиционной деятельности и не подлежит оценке регулирующего воздействия.</w:t>
      </w:r>
    </w:p>
    <w:sectPr>
      <w:headerReference r:id="rId1" w:type="default"/>
      <w:type w:val="nextPage"/>
      <w:pgSz w:h="16848" w:orient="portrait" w:w="11908"/>
      <w:pgMar w:bottom="1134" w:footer="0" w:gutter="0" w:header="709" w:left="1134" w:right="567" w:top="1020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sz w:val="22"/>
      </w:rPr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6" w:type="paragraph">
    <w:name w:val="toc 2"/>
    <w:next w:val="Style_2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2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Body Text Indent 2"/>
    <w:basedOn w:val="Style_2"/>
    <w:link w:val="Style_8_ch"/>
    <w:pPr>
      <w:widowControl w:val="1"/>
      <w:spacing w:after="120" w:before="0" w:line="480" w:lineRule="auto"/>
      <w:ind w:left="283"/>
    </w:pPr>
  </w:style>
  <w:style w:styleId="Style_8_ch" w:type="character">
    <w:name w:val="Body Text Indent 2"/>
    <w:basedOn w:val="Style_2_ch"/>
    <w:link w:val="Style_8"/>
  </w:style>
  <w:style w:styleId="Style_9" w:type="paragraph">
    <w:name w:val="toc 6"/>
    <w:next w:val="Style_2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Заголовок"/>
    <w:basedOn w:val="Style_2"/>
    <w:next w:val="Style_12"/>
    <w:link w:val="Style_1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1_ch" w:type="character">
    <w:name w:val="Заголовок"/>
    <w:basedOn w:val="Style_2_ch"/>
    <w:link w:val="Style_11"/>
    <w:rPr>
      <w:rFonts w:ascii="PT Astra Serif" w:hAnsi="PT Astra Serif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ConsPlusNormal"/>
    <w:link w:val="Style_15_ch"/>
    <w:pPr>
      <w:widowControl w:val="0"/>
      <w:spacing w:after="0" w:before="0" w:line="240" w:lineRule="auto"/>
      <w:ind w:firstLine="720"/>
      <w:jc w:val="left"/>
    </w:pPr>
    <w:rPr>
      <w:rFonts w:ascii="Arial" w:hAnsi="Arial"/>
      <w:color w:val="000000"/>
      <w:sz w:val="20"/>
    </w:rPr>
  </w:style>
  <w:style w:styleId="Style_15_ch" w:type="character">
    <w:name w:val="ConsPlusNormal"/>
    <w:link w:val="Style_15"/>
    <w:rPr>
      <w:rFonts w:ascii="Arial" w:hAnsi="Arial"/>
      <w:color w:val="000000"/>
      <w:sz w:val="20"/>
    </w:rPr>
  </w:style>
  <w:style w:styleId="Style_3" w:type="paragraph">
    <w:name w:val="msonormalcxspmiddle"/>
    <w:basedOn w:val="Style_2"/>
    <w:link w:val="Style_3_ch"/>
    <w:pPr>
      <w:widowControl w:val="1"/>
      <w:spacing w:afterAutospacing="on" w:beforeAutospacing="on"/>
      <w:ind/>
    </w:pPr>
  </w:style>
  <w:style w:styleId="Style_3_ch" w:type="character">
    <w:name w:val="msonormalcxspmiddle"/>
    <w:basedOn w:val="Style_2_ch"/>
    <w:link w:val="Style_3"/>
  </w:style>
  <w:style w:styleId="Style_5" w:type="paragraph">
    <w:name w:val="Body Text Indent"/>
    <w:basedOn w:val="Style_2"/>
    <w:link w:val="Style_5_ch"/>
    <w:pPr>
      <w:widowControl w:val="1"/>
      <w:spacing w:after="120" w:before="0"/>
      <w:ind w:left="283"/>
    </w:pPr>
  </w:style>
  <w:style w:styleId="Style_5_ch" w:type="character">
    <w:name w:val="Body Text Indent"/>
    <w:basedOn w:val="Style_2_ch"/>
    <w:link w:val="Style_5"/>
  </w:style>
  <w:style w:styleId="Style_16" w:type="paragraph">
    <w:name w:val="List"/>
    <w:basedOn w:val="Style_12"/>
    <w:link w:val="Style_16_ch"/>
    <w:rPr>
      <w:rFonts w:ascii="PT Astra Serif" w:hAnsi="PT Astra Serif"/>
    </w:rPr>
  </w:style>
  <w:style w:styleId="Style_16_ch" w:type="character">
    <w:name w:val="List"/>
    <w:basedOn w:val="Style_12_ch"/>
    <w:link w:val="Style_16"/>
    <w:rPr>
      <w:rFonts w:ascii="PT Astra Serif" w:hAnsi="PT Astra Serif"/>
    </w:rPr>
  </w:style>
  <w:style w:styleId="Style_17" w:type="paragraph">
    <w:name w:val="Balloon Text"/>
    <w:basedOn w:val="Style_2"/>
    <w:link w:val="Style_17_ch"/>
    <w:rPr>
      <w:rFonts w:ascii="Segoe UI" w:hAnsi="Segoe UI"/>
      <w:sz w:val="18"/>
    </w:rPr>
  </w:style>
  <w:style w:styleId="Style_17_ch" w:type="character">
    <w:name w:val="Balloon Text"/>
    <w:basedOn w:val="Style_2_ch"/>
    <w:link w:val="Style_17"/>
    <w:rPr>
      <w:rFonts w:ascii="Segoe UI" w:hAnsi="Segoe UI"/>
      <w:sz w:val="18"/>
    </w:rPr>
  </w:style>
  <w:style w:styleId="Style_18" w:type="paragraph">
    <w:name w:val="toc 3"/>
    <w:next w:val="Style_2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4" w:type="paragraph">
    <w:name w:val="msonormalcxsplast"/>
    <w:basedOn w:val="Style_2"/>
    <w:link w:val="Style_4_ch"/>
    <w:pPr>
      <w:widowControl w:val="1"/>
      <w:spacing w:afterAutospacing="on" w:beforeAutospacing="on"/>
      <w:ind/>
    </w:pPr>
  </w:style>
  <w:style w:styleId="Style_4_ch" w:type="character">
    <w:name w:val="msonormalcxsplast"/>
    <w:basedOn w:val="Style_2_ch"/>
    <w:link w:val="Style_4"/>
  </w:style>
  <w:style w:styleId="Style_19" w:type="paragraph">
    <w:name w:val="Основной текст с отступом Знак"/>
    <w:basedOn w:val="Style_20"/>
    <w:link w:val="Style_19_ch"/>
    <w:rPr>
      <w:rFonts w:ascii="Times New Roman" w:hAnsi="Times New Roman"/>
      <w:sz w:val="24"/>
    </w:rPr>
  </w:style>
  <w:style w:styleId="Style_19_ch" w:type="character">
    <w:name w:val="Основной текст с отступом Знак"/>
    <w:basedOn w:val="Style_20_ch"/>
    <w:link w:val="Style_19"/>
    <w:rPr>
      <w:rFonts w:ascii="Times New Roman" w:hAnsi="Times New Roman"/>
      <w:sz w:val="24"/>
    </w:rPr>
  </w:style>
  <w:style w:styleId="Style_12" w:type="paragraph">
    <w:name w:val="Body Text"/>
    <w:basedOn w:val="Style_2"/>
    <w:link w:val="Style_12_ch"/>
    <w:pPr>
      <w:widowControl w:val="1"/>
      <w:spacing w:after="140" w:before="0" w:line="276" w:lineRule="auto"/>
      <w:ind/>
    </w:pPr>
  </w:style>
  <w:style w:styleId="Style_12_ch" w:type="character">
    <w:name w:val="Body Text"/>
    <w:basedOn w:val="Style_2_ch"/>
    <w:link w:val="Style_12"/>
  </w:style>
  <w:style w:styleId="Style_21" w:type="paragraph">
    <w:name w:val="heading 5"/>
    <w:next w:val="Style_2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Footer"/>
    <w:basedOn w:val="Style_2"/>
    <w:link w:val="Style_22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2_ch"/>
    <w:link w:val="Style_22"/>
  </w:style>
  <w:style w:styleId="Style_23" w:type="paragraph">
    <w:name w:val="heading 1"/>
    <w:next w:val="Style_2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Колонтитул"/>
    <w:basedOn w:val="Style_2"/>
    <w:link w:val="Style_24_ch"/>
  </w:style>
  <w:style w:styleId="Style_24_ch" w:type="character">
    <w:name w:val="Колонтитул"/>
    <w:basedOn w:val="Style_2_ch"/>
    <w:link w:val="Style_24"/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2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Указатель"/>
    <w:basedOn w:val="Style_2"/>
    <w:link w:val="Style_29_ch"/>
    <w:rPr>
      <w:rFonts w:ascii="PT Astra Serif" w:hAnsi="PT Astra Serif"/>
    </w:rPr>
  </w:style>
  <w:style w:styleId="Style_29_ch" w:type="character">
    <w:name w:val="Указатель"/>
    <w:basedOn w:val="Style_2_ch"/>
    <w:link w:val="Style_29"/>
    <w:rPr>
      <w:rFonts w:ascii="PT Astra Serif" w:hAnsi="PT Astra Serif"/>
    </w:rPr>
  </w:style>
  <w:style w:styleId="Style_30" w:type="paragraph">
    <w:name w:val="toc 9"/>
    <w:next w:val="Style_2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Caption"/>
    <w:basedOn w:val="Style_2"/>
    <w:link w:val="Style_3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1_ch" w:type="character">
    <w:name w:val="Caption"/>
    <w:basedOn w:val="Style_2_ch"/>
    <w:link w:val="Style_31"/>
    <w:rPr>
      <w:rFonts w:ascii="PT Astra Serif" w:hAnsi="PT Astra Serif"/>
      <w:i w:val="1"/>
      <w:sz w:val="24"/>
    </w:rPr>
  </w:style>
  <w:style w:styleId="Style_32" w:type="paragraph">
    <w:name w:val="toc 8"/>
    <w:next w:val="Style_2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Нижний колонтитул Знак"/>
    <w:basedOn w:val="Style_20"/>
    <w:link w:val="Style_33_ch"/>
    <w:rPr>
      <w:rFonts w:ascii="Times New Roman" w:hAnsi="Times New Roman"/>
      <w:sz w:val="24"/>
    </w:rPr>
  </w:style>
  <w:style w:styleId="Style_33_ch" w:type="character">
    <w:name w:val="Нижний колонтитул Знак"/>
    <w:basedOn w:val="Style_20_ch"/>
    <w:link w:val="Style_33"/>
    <w:rPr>
      <w:rFonts w:ascii="Times New Roman" w:hAnsi="Times New Roman"/>
      <w:sz w:val="24"/>
    </w:rPr>
  </w:style>
  <w:style w:styleId="Style_34" w:type="paragraph">
    <w:name w:val="toc 5"/>
    <w:next w:val="Style_2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5" w:type="paragraph">
    <w:name w:val="Subtitle"/>
    <w:next w:val="Style_2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Верхний колонтитул Знак"/>
    <w:basedOn w:val="Style_20"/>
    <w:link w:val="Style_36_ch"/>
    <w:rPr>
      <w:rFonts w:ascii="Times New Roman" w:hAnsi="Times New Roman"/>
      <w:sz w:val="24"/>
    </w:rPr>
  </w:style>
  <w:style w:styleId="Style_36_ch" w:type="character">
    <w:name w:val="Верхний колонтитул Знак"/>
    <w:basedOn w:val="Style_20_ch"/>
    <w:link w:val="Style_36"/>
    <w:rPr>
      <w:rFonts w:ascii="Times New Roman" w:hAnsi="Times New Roman"/>
      <w:sz w:val="24"/>
    </w:rPr>
  </w:style>
  <w:style w:styleId="Style_37" w:type="paragraph">
    <w:name w:val="Title"/>
    <w:next w:val="Style_2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2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next w:val="Style_2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default="1" w:styleId="Style_40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2026-09-14T13:12:26Z</dcterms:created>
  <dcterms:modified xsi:type="dcterms:W3CDTF">2026-09-14T13:12:26Z</dcterms:modified>
</cp:coreProperties>
</file>