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3D" w:rsidRDefault="00F12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6D3D" w:rsidRDefault="00F12B3B">
      <w:pPr>
        <w:pStyle w:val="msonormalcxspmiddle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закона Ненецкого автономного округа</w:t>
      </w:r>
    </w:p>
    <w:p w:rsidR="00CF6D3D" w:rsidRDefault="00F12B3B">
      <w:pPr>
        <w:pStyle w:val="msonormalcxspmiddle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переводе земельных участков из категории земель сельскохозяйственного назначения в другую категорию земель»</w:t>
      </w:r>
    </w:p>
    <w:p w:rsidR="00CF6D3D" w:rsidRDefault="00CF6D3D" w:rsidP="00416736">
      <w:pPr>
        <w:pStyle w:val="msonormalcxsplast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416736" w:rsidRDefault="00416736" w:rsidP="00416736">
      <w:pPr>
        <w:pStyle w:val="msonormalcxsplast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CF6D3D" w:rsidRDefault="00F12B3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Субъект правотворческой инициативы:</w:t>
      </w:r>
      <w:r>
        <w:rPr>
          <w:sz w:val="28"/>
          <w:szCs w:val="28"/>
        </w:rPr>
        <w:t xml:space="preserve"> губернатор</w:t>
      </w:r>
      <w:r w:rsidR="006C3F04">
        <w:rPr>
          <w:sz w:val="28"/>
          <w:szCs w:val="28"/>
        </w:rPr>
        <w:t xml:space="preserve"> </w:t>
      </w:r>
      <w:r>
        <w:rPr>
          <w:sz w:val="28"/>
          <w:szCs w:val="28"/>
        </w:rPr>
        <w:t>Ненецкого автономного округа.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b/>
          <w:sz w:val="28"/>
          <w:szCs w:val="28"/>
        </w:rPr>
        <w:t>Разработчик проекта: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Департамент имущественных, земельных отношений и градостроительства Ненецкого автономного округа.</w:t>
      </w:r>
    </w:p>
    <w:p w:rsidR="006C3F04" w:rsidRDefault="006C3F04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соответствии с частью 1 статьи 3 Федерального закона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от 21.12.2004 № 172-ФЗ «О переводе земель или земельных участков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из одной категории </w:t>
      </w:r>
      <w:r w:rsidR="006C3F04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другую» (далее – Федеральный закон №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172-ФЗ)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адрес Департамента имущественных, земельных отношений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и градостроительства Ненецкого автономного округа 24.04.2026 обратилось общество с ограниченной ответственностью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«ЛУКОЙЛ-ПЕРМЬ» (далее – ООО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«ЛУКОЙЛ-ПЕРМЬ», общество)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с ходатайством о переводе в целях недропользования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</w:t>
      </w:r>
      <w:r w:rsidR="006C3F04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 земель иного специального назначения (далее – земли промышленности)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двух земельных участков: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1) кадастровый номер 83:00:070001:10588, площадь 51 788,1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кв. м, местоположение: Российская Федерация, Ненецкий автономный округ;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2) кадастровый номер 83:00:070001:10589, площадь 56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678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кв. м, местоположение: Российская Федерация, Ненецкий автономный округ.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Земельный участок с кадастровым номером 83:00:070001:10588 образован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из земельного участка с кадастровым номером 83:00:070001:1746 (исходный участок), арендатором которого является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ООО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«ЛУКОЙЛ-ПЕРМЬ». В силу пункта 4 статьи 11.8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Земельного кодекса Российской Федерации (далее – ЗК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РФ) общество сохраняет прав</w:t>
      </w:r>
      <w:r w:rsidR="006C3F04">
        <w:rPr>
          <w:spacing w:val="5"/>
          <w:sz w:val="28"/>
          <w:szCs w:val="28"/>
        </w:rPr>
        <w:t>о</w:t>
      </w:r>
      <w:r>
        <w:rPr>
          <w:spacing w:val="5"/>
          <w:sz w:val="28"/>
          <w:szCs w:val="28"/>
        </w:rPr>
        <w:t xml:space="preserve"> аренды на образованный из исходного земельный участок и имеет преимущественное право на заключение договора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его аренды. </w:t>
      </w:r>
      <w:r w:rsidR="006C3F04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соответствии с подпунктом 20 пункта 2 статьи 39.6 ЗК</w:t>
      </w:r>
      <w:r w:rsidR="00282BA7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РФ земельный участок </w:t>
      </w:r>
      <w:r w:rsidR="00282BA7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с кадастровым номером 83:00:070001:10588 подлежит предоставлению ООО</w:t>
      </w:r>
      <w:r w:rsidR="00282BA7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 в аренду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без проведения торгов по виду разреш</w:t>
      </w:r>
      <w:r w:rsidR="00282BA7">
        <w:rPr>
          <w:spacing w:val="5"/>
          <w:sz w:val="28"/>
          <w:szCs w:val="28"/>
        </w:rPr>
        <w:t>е</w:t>
      </w:r>
      <w:r>
        <w:rPr>
          <w:spacing w:val="5"/>
          <w:sz w:val="28"/>
          <w:szCs w:val="28"/>
        </w:rPr>
        <w:t>нного использования «Разведка и добыча полезных ископаемых» под строительство эксплуатационных скважин куста №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156 Торавейского месторождения.</w:t>
      </w:r>
      <w:r w:rsidR="00282BA7">
        <w:rPr>
          <w:spacing w:val="5"/>
          <w:sz w:val="28"/>
          <w:szCs w:val="28"/>
        </w:rPr>
        <w:t xml:space="preserve"> 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Земельный участок с кадастровым номером 83:00:070001:10589 образован из земельного участка с кадастровым номером 83:00:070001:10319, арендатором которого является СПК коопхоз «Ерв». На основании распоряжения </w:t>
      </w:r>
      <w:r w:rsidR="00416736" w:rsidRPr="00416736">
        <w:rPr>
          <w:spacing w:val="5"/>
          <w:sz w:val="28"/>
          <w:szCs w:val="28"/>
        </w:rPr>
        <w:t xml:space="preserve">Департамента имущественных, земельных отношений и градостроительства Ненецкого автономного округа </w:t>
      </w:r>
      <w:r>
        <w:rPr>
          <w:spacing w:val="5"/>
          <w:sz w:val="28"/>
          <w:szCs w:val="28"/>
        </w:rPr>
        <w:t>от 27.01.2026 №</w:t>
      </w:r>
      <w:r w:rsidR="00282BA7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134 «О предварительном согласовании предоставления земельных участков ООО «ЛУКОЙЛ-ПЕРМЬ» общей площадью 58 264 кв.</w:t>
      </w:r>
      <w:r w:rsidR="00282BA7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м.»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в соответствии с подпунктом 20 пункта 2 </w:t>
      </w:r>
      <w:r>
        <w:rPr>
          <w:spacing w:val="5"/>
          <w:sz w:val="28"/>
          <w:szCs w:val="28"/>
        </w:rPr>
        <w:lastRenderedPageBreak/>
        <w:t>статьи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39.6, пунктом 16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статьи 39.15 ЗК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РФ он также подлежит предоставлению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ООО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 в аренду без проведения торгов по виду разреш</w:t>
      </w:r>
      <w:r w:rsidR="00416736">
        <w:rPr>
          <w:spacing w:val="5"/>
          <w:sz w:val="28"/>
          <w:szCs w:val="28"/>
        </w:rPr>
        <w:t>е</w:t>
      </w:r>
      <w:r>
        <w:rPr>
          <w:spacing w:val="5"/>
          <w:sz w:val="28"/>
          <w:szCs w:val="28"/>
        </w:rPr>
        <w:t>нного использования «Разведка и добыча полезных ископаемых» под строительство эксплуатационных скважин куста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№</w:t>
      </w:r>
      <w:r w:rsidR="006C3F04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156 Торавейского месторождения.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ООО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«ЛУКОЙЛ-ПЕРМЬ» для осуществления пользования недрами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по подпункту 20 пункта 2 статьи 39.6 ЗК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РФ обладает лицензией на пользование недрами НРМ 021772 НЭ.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Проектная документация объекта «Строительство эксплуатационных скважин куста №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156 Торавейского месторождения» не является объектом государственной экологической экспертизы федерального и регионального уровней в соответствии с подпунктом 5, абзацем третьим подпункта 8 пункта 1 статьи 11 и статьи 12 Федерального закона от 23.11.1995 №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174-ФЗ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«Об экологической экспертизе».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Оба испрашиваемых для перевода земельных участка расположены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пределах территорий традиционного природопользования коренных малочисленных народов Севера регионального значения «Ерв» (далее – ТТПП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«Ерв»), которая образована постановлением Администрации Ненецкого автономного округа от </w:t>
      </w:r>
      <w:r w:rsidRPr="0047524A">
        <w:rPr>
          <w:spacing w:val="5"/>
          <w:sz w:val="28"/>
          <w:szCs w:val="28"/>
        </w:rPr>
        <w:t xml:space="preserve">21.01.2002 </w:t>
      </w:r>
      <w:r w:rsidR="0047524A" w:rsidRPr="0047524A">
        <w:rPr>
          <w:spacing w:val="5"/>
          <w:sz w:val="28"/>
          <w:szCs w:val="28"/>
        </w:rPr>
        <w:t>№ </w:t>
      </w:r>
      <w:r w:rsidRPr="0047524A">
        <w:rPr>
          <w:spacing w:val="5"/>
          <w:sz w:val="28"/>
          <w:szCs w:val="28"/>
        </w:rPr>
        <w:t>31.</w:t>
      </w:r>
      <w:r>
        <w:rPr>
          <w:spacing w:val="5"/>
          <w:sz w:val="28"/>
          <w:szCs w:val="28"/>
        </w:rPr>
        <w:t xml:space="preserve"> Этим же постановлением утверждено Положение о ТТПП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«Ерв». Нормы раздела 3 указанного Положения</w:t>
      </w:r>
      <w:r w:rsidR="00416736">
        <w:rPr>
          <w:spacing w:val="5"/>
          <w:sz w:val="28"/>
          <w:szCs w:val="28"/>
        </w:rPr>
        <w:t xml:space="preserve">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совокупности с нормами пунктов 3.4–3.6 Положения о территориях традиционного приро</w:t>
      </w:r>
      <w:bookmarkStart w:id="0" w:name="_GoBack"/>
      <w:bookmarkEnd w:id="0"/>
      <w:r>
        <w:rPr>
          <w:spacing w:val="5"/>
          <w:sz w:val="28"/>
          <w:szCs w:val="28"/>
        </w:rPr>
        <w:t xml:space="preserve">допользования коренных малочисленных народов Севера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Ненецком автономном округе (утверждено постановлением Администрации Ненецкого автономного округа от 29.12.2001 №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1025) не препятствуют переводу земельных участков с кадастровыми номерами 83:00:070001:10588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 xml:space="preserve">и 83:00:070001:10589 из категории земель сельскохозяйственного назначения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категорию земель промышленности.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 сельскохозяйственным угодьям земельные участки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не относятся.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Полномочия Макаровой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Е.В. как представителя ООО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 на момент подписания ходатайства подтверждены.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По результатам рассмотрения ходатайства исполнительным органом субъекта Российской Федерации принимается акт о переводе земель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 с учетом особенностей, предусмотренных статьей 3 Федерального закона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№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Акт о переводе земель или земельных участков в отношении земель сельскохозяйственного назначения или земельных участков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составе таких земель, за исключением земель, находящихся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в федеральной собственности, принимается исполнительным органом субъекта Российской Федерации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 xml:space="preserve">в соответствии с законом субъекта Российской Федерации, предусматривающим перевод земель сельскохозяйственного назначения или земельных участков </w:t>
      </w:r>
      <w:r w:rsidR="00416736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составе таких земель из одной категории в другую (часть 9 статьи 3 Федерального закона №</w:t>
      </w:r>
      <w:r w:rsidR="00416736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172-ФЗ).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Принятие рассматриваемого законопроекта и его реализация</w:t>
      </w:r>
      <w:r w:rsidR="006C3F0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не потребуют выделения средств из окружного бюджета. </w:t>
      </w:r>
    </w:p>
    <w:p w:rsidR="00CF6D3D" w:rsidRDefault="00F12B3B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lastRenderedPageBreak/>
        <w:t>Проект закона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sectPr w:rsidR="00CF6D3D" w:rsidSect="006C3F04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A4" w:rsidRDefault="002B4BA4">
      <w:r>
        <w:separator/>
      </w:r>
    </w:p>
  </w:endnote>
  <w:endnote w:type="continuationSeparator" w:id="0">
    <w:p w:rsidR="002B4BA4" w:rsidRDefault="002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A4" w:rsidRDefault="002B4BA4">
      <w:r>
        <w:separator/>
      </w:r>
    </w:p>
  </w:footnote>
  <w:footnote w:type="continuationSeparator" w:id="0">
    <w:p w:rsidR="002B4BA4" w:rsidRDefault="002B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181571"/>
      <w:docPartObj>
        <w:docPartGallery w:val="Page Numbers (Top of Page)"/>
        <w:docPartUnique/>
      </w:docPartObj>
    </w:sdtPr>
    <w:sdtEndPr/>
    <w:sdtContent>
      <w:p w:rsidR="00CF6D3D" w:rsidRDefault="00F12B3B">
        <w:pPr>
          <w:pStyle w:val="a6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47524A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3D"/>
    <w:rsid w:val="00282BA7"/>
    <w:rsid w:val="002B4BA4"/>
    <w:rsid w:val="00416736"/>
    <w:rsid w:val="0047524A"/>
    <w:rsid w:val="006C3F04"/>
    <w:rsid w:val="00CF6D3D"/>
    <w:rsid w:val="00F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8E805-DD45-4022-A31E-B5E9A4AB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81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481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A49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77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837EE7"/>
    <w:pPr>
      <w:spacing w:after="120"/>
      <w:ind w:left="283"/>
    </w:pPr>
  </w:style>
  <w:style w:type="paragraph" w:customStyle="1" w:styleId="ConsPlusNormal">
    <w:name w:val="ConsPlusNormal"/>
    <w:qFormat/>
    <w:rsid w:val="00837EE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qFormat/>
    <w:rsid w:val="00837EE7"/>
    <w:pPr>
      <w:spacing w:beforeAutospacing="1" w:afterAutospacing="1"/>
    </w:pPr>
  </w:style>
  <w:style w:type="paragraph" w:customStyle="1" w:styleId="msonormalcxsplast">
    <w:name w:val="msonormalcxsplast"/>
    <w:basedOn w:val="a"/>
    <w:qFormat/>
    <w:rsid w:val="00837EE7"/>
    <w:pPr>
      <w:spacing w:beforeAutospacing="1" w:afterAutospacing="1"/>
    </w:p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48144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48144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CA4942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link w:val="2"/>
    <w:uiPriority w:val="99"/>
    <w:semiHidden/>
    <w:unhideWhenUsed/>
    <w:qFormat/>
    <w:rsid w:val="007724E5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387B-B630-4F5A-A00E-EE4D9DB8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Вера Владимировна</dc:creator>
  <dc:description/>
  <cp:lastModifiedBy>Воронцова Ирина Александровна</cp:lastModifiedBy>
  <cp:revision>35</cp:revision>
  <cp:lastPrinted>2022-04-19T06:28:00Z</cp:lastPrinted>
  <dcterms:created xsi:type="dcterms:W3CDTF">2022-08-30T08:13:00Z</dcterms:created>
  <dcterms:modified xsi:type="dcterms:W3CDTF">2026-06-15T07:32:00Z</dcterms:modified>
  <dc:language>ru-RU</dc:language>
</cp:coreProperties>
</file>