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F0" w:rsidRDefault="006D45F0" w:rsidP="006D45F0">
      <w:pPr>
        <w:pStyle w:val="10"/>
        <w:rPr>
          <w:b w:val="0"/>
        </w:rPr>
      </w:pPr>
      <w:bookmarkStart w:id="0" w:name="_GoBack"/>
      <w:bookmarkEnd w:id="0"/>
      <w:r w:rsidRPr="008F41CD">
        <w:rPr>
          <w:b w:val="0"/>
        </w:rPr>
        <w:t>Проект</w:t>
      </w:r>
      <w:r>
        <w:rPr>
          <w:b w:val="0"/>
        </w:rPr>
        <w:t xml:space="preserve"> № </w:t>
      </w:r>
      <w:r w:rsidR="007A594A">
        <w:rPr>
          <w:b w:val="0"/>
        </w:rPr>
        <w:t>55</w:t>
      </w:r>
      <w:r>
        <w:rPr>
          <w:b w:val="0"/>
        </w:rPr>
        <w:t>-пр</w:t>
      </w:r>
      <w:r w:rsidRPr="008F41CD">
        <w:rPr>
          <w:b w:val="0"/>
        </w:rPr>
        <w:t xml:space="preserve"> </w:t>
      </w:r>
    </w:p>
    <w:p w:rsidR="006E6353" w:rsidRPr="008F41CD" w:rsidRDefault="006E6353" w:rsidP="006D45F0">
      <w:pPr>
        <w:pStyle w:val="10"/>
        <w:rPr>
          <w:b w:val="0"/>
        </w:rPr>
      </w:pPr>
    </w:p>
    <w:p w:rsidR="006D45F0" w:rsidRPr="004B3E9C" w:rsidRDefault="006D45F0" w:rsidP="006D45F0">
      <w:pPr>
        <w:pStyle w:val="ConsPlusTitle"/>
        <w:spacing w:after="600"/>
        <w:jc w:val="center"/>
        <w:outlineLvl w:val="0"/>
        <w:rPr>
          <w:sz w:val="28"/>
          <w:szCs w:val="28"/>
        </w:rPr>
      </w:pPr>
      <w:r w:rsidRPr="00DD2179">
        <w:rPr>
          <w:sz w:val="28"/>
          <w:szCs w:val="28"/>
        </w:rPr>
        <w:t>ЗАКОН НЕНЕЦКОГО АВТОНОМНОГО ОКРУГА</w:t>
      </w:r>
    </w:p>
    <w:p w:rsidR="00911959" w:rsidRDefault="006D45F0" w:rsidP="00342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419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FE2BED">
        <w:rPr>
          <w:rFonts w:ascii="Times New Roman" w:hAnsi="Times New Roman" w:cs="Times New Roman"/>
          <w:b/>
          <w:bCs/>
          <w:sz w:val="28"/>
          <w:szCs w:val="28"/>
        </w:rPr>
        <w:t>приостановлении действия</w:t>
      </w:r>
      <w:r w:rsidR="008569D4" w:rsidRPr="001424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2ADE">
        <w:rPr>
          <w:rFonts w:ascii="Times New Roman" w:hAnsi="Times New Roman" w:cs="Times New Roman"/>
          <w:b/>
          <w:bCs/>
          <w:sz w:val="28"/>
          <w:szCs w:val="28"/>
        </w:rPr>
        <w:t xml:space="preserve">закона </w:t>
      </w:r>
    </w:p>
    <w:p w:rsidR="00911959" w:rsidRDefault="00342ADE" w:rsidP="00342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Ненецкого автономного округа </w:t>
      </w:r>
    </w:p>
    <w:p w:rsidR="00911959" w:rsidRDefault="00342ADE" w:rsidP="00342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ADE">
        <w:rPr>
          <w:rFonts w:ascii="Times New Roman" w:hAnsi="Times New Roman" w:cs="Times New Roman"/>
          <w:b/>
          <w:bCs/>
          <w:sz w:val="28"/>
          <w:szCs w:val="28"/>
        </w:rPr>
        <w:t xml:space="preserve">«Об обеспечении доступного жилищного кредитования </w:t>
      </w:r>
    </w:p>
    <w:p w:rsidR="005D6862" w:rsidRDefault="00342ADE" w:rsidP="00342A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ADE">
        <w:rPr>
          <w:rFonts w:ascii="Times New Roman" w:hAnsi="Times New Roman" w:cs="Times New Roman"/>
          <w:b/>
          <w:bCs/>
          <w:sz w:val="28"/>
          <w:szCs w:val="28"/>
        </w:rPr>
        <w:t>для граждан в Ненецком автономном округе»</w:t>
      </w:r>
    </w:p>
    <w:p w:rsidR="00CF5518" w:rsidRDefault="00CF5518" w:rsidP="00856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45F0" w:rsidRDefault="00312E06" w:rsidP="00856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D45F0" w:rsidRPr="00312E06" w:rsidRDefault="006D45F0" w:rsidP="00E759D4">
      <w:pPr>
        <w:pStyle w:val="13"/>
        <w:spacing w:before="0"/>
      </w:pPr>
      <w:r w:rsidRPr="00312E06">
        <w:t>Для принятия в первом чтении</w:t>
      </w:r>
      <w:r w:rsidR="00E759D4" w:rsidRPr="00312E06">
        <w:tab/>
      </w:r>
      <w:r w:rsidR="00E759D4" w:rsidRPr="00312E06">
        <w:tab/>
      </w:r>
      <w:r w:rsidR="00E759D4" w:rsidRPr="00312E06">
        <w:tab/>
      </w:r>
      <w:r w:rsidR="00E759D4" w:rsidRPr="00312E06">
        <w:tab/>
      </w:r>
      <w:r w:rsidR="00E759D4" w:rsidRPr="00312E06">
        <w:tab/>
      </w:r>
      <w:r w:rsidR="00312E06">
        <w:tab/>
      </w:r>
      <w:r w:rsidR="00312E06">
        <w:tab/>
      </w:r>
      <w:r w:rsidR="00312E06">
        <w:tab/>
      </w:r>
      <w:r w:rsidR="00E759D4" w:rsidRPr="00312E06">
        <w:tab/>
      </w:r>
      <w:r w:rsidR="00E759D4" w:rsidRPr="00312E06">
        <w:tab/>
      </w:r>
      <w:r w:rsidR="00E759D4" w:rsidRPr="00312E06">
        <w:tab/>
      </w:r>
      <w:r w:rsidR="00E759D4" w:rsidRPr="00312E06">
        <w:tab/>
      </w:r>
      <w:r w:rsidR="001067CE" w:rsidRPr="00312E06">
        <w:t>«</w:t>
      </w:r>
      <w:r w:rsidRPr="00312E06">
        <w:t>___» _________ 20</w:t>
      </w:r>
      <w:r w:rsidR="000A7E6E" w:rsidRPr="00312E06">
        <w:t>2</w:t>
      </w:r>
      <w:r w:rsidR="008D6F3A">
        <w:t>4</w:t>
      </w:r>
      <w:r w:rsidRPr="00312E06">
        <w:t xml:space="preserve"> года</w:t>
      </w:r>
    </w:p>
    <w:p w:rsidR="006D45F0" w:rsidRPr="00312E06" w:rsidRDefault="006D45F0" w:rsidP="00C80CBF">
      <w:pPr>
        <w:pStyle w:val="13"/>
        <w:spacing w:before="0" w:after="0"/>
        <w:ind w:firstLine="709"/>
        <w:rPr>
          <w:b/>
        </w:rPr>
      </w:pPr>
      <w:r w:rsidRPr="00312E06">
        <w:rPr>
          <w:b/>
        </w:rPr>
        <w:t xml:space="preserve">Статья 1 </w:t>
      </w:r>
    </w:p>
    <w:p w:rsidR="00D66D0C" w:rsidRDefault="00D66D0C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51C8" w:rsidRDefault="00FE2BED" w:rsidP="00667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Приостановить до </w:t>
      </w:r>
      <w:r w:rsidR="007E6C9F" w:rsidRPr="006F5F02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7E6C9F">
        <w:rPr>
          <w:rFonts w:ascii="Times New Roman" w:hAnsi="Times New Roman" w:cs="Times New Roman"/>
          <w:bCs/>
          <w:sz w:val="24"/>
          <w:szCs w:val="24"/>
        </w:rPr>
        <w:t>января 2028 года</w:t>
      </w:r>
      <w:r w:rsidR="00037996">
        <w:rPr>
          <w:rFonts w:ascii="Times New Roman" w:hAnsi="Times New Roman" w:cs="Times New Roman"/>
          <w:bCs/>
          <w:sz w:val="24"/>
          <w:szCs w:val="24"/>
        </w:rPr>
        <w:t xml:space="preserve"> действие</w:t>
      </w:r>
      <w:r w:rsidR="00667A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C6D">
        <w:rPr>
          <w:rFonts w:ascii="Times New Roman" w:hAnsi="Times New Roman" w:cs="Times New Roman"/>
          <w:bCs/>
          <w:sz w:val="24"/>
          <w:szCs w:val="24"/>
        </w:rPr>
        <w:t>закон</w:t>
      </w:r>
      <w:r w:rsidR="002C4967">
        <w:rPr>
          <w:rFonts w:ascii="Times New Roman" w:hAnsi="Times New Roman" w:cs="Times New Roman"/>
          <w:bCs/>
          <w:sz w:val="24"/>
          <w:szCs w:val="24"/>
        </w:rPr>
        <w:t>а</w:t>
      </w:r>
      <w:r w:rsidR="00017C6D">
        <w:rPr>
          <w:rFonts w:ascii="Times New Roman" w:hAnsi="Times New Roman" w:cs="Times New Roman"/>
          <w:bCs/>
          <w:sz w:val="24"/>
          <w:szCs w:val="24"/>
        </w:rPr>
        <w:t xml:space="preserve"> Ненецкого автономного округа от 13.07.2015 № </w:t>
      </w:r>
      <w:r w:rsidR="006A5403">
        <w:rPr>
          <w:rFonts w:ascii="Times New Roman" w:hAnsi="Times New Roman" w:cs="Times New Roman"/>
          <w:bCs/>
          <w:sz w:val="24"/>
          <w:szCs w:val="24"/>
        </w:rPr>
        <w:t>98-оз</w:t>
      </w:r>
      <w:r w:rsidR="00F014C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017C6D" w:rsidRPr="00017C6D">
        <w:rPr>
          <w:rFonts w:ascii="Times New Roman" w:hAnsi="Times New Roman" w:cs="Times New Roman"/>
          <w:bCs/>
          <w:sz w:val="24"/>
          <w:szCs w:val="24"/>
        </w:rPr>
        <w:t xml:space="preserve">Об обеспечении доступного жилищного </w:t>
      </w:r>
      <w:r w:rsidR="00667A80">
        <w:rPr>
          <w:rFonts w:ascii="Times New Roman" w:hAnsi="Times New Roman" w:cs="Times New Roman"/>
          <w:bCs/>
          <w:sz w:val="24"/>
          <w:szCs w:val="24"/>
        </w:rPr>
        <w:t xml:space="preserve">кредитования </w:t>
      </w:r>
      <w:r w:rsidR="00B253CE">
        <w:rPr>
          <w:rFonts w:ascii="Times New Roman" w:hAnsi="Times New Roman" w:cs="Times New Roman"/>
          <w:bCs/>
          <w:sz w:val="24"/>
          <w:szCs w:val="24"/>
        </w:rPr>
        <w:br/>
      </w:r>
      <w:r w:rsidR="00667A80">
        <w:rPr>
          <w:rFonts w:ascii="Times New Roman" w:hAnsi="Times New Roman" w:cs="Times New Roman"/>
          <w:bCs/>
          <w:sz w:val="24"/>
          <w:szCs w:val="24"/>
        </w:rPr>
        <w:t>для</w:t>
      </w:r>
      <w:r w:rsidR="00B25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7C6D" w:rsidRPr="00017C6D">
        <w:rPr>
          <w:rFonts w:ascii="Times New Roman" w:hAnsi="Times New Roman" w:cs="Times New Roman"/>
          <w:bCs/>
          <w:sz w:val="24"/>
          <w:szCs w:val="24"/>
        </w:rPr>
        <w:t>гражд</w:t>
      </w:r>
      <w:r w:rsidR="00F014C7">
        <w:rPr>
          <w:rFonts w:ascii="Times New Roman" w:hAnsi="Times New Roman" w:cs="Times New Roman"/>
          <w:bCs/>
          <w:sz w:val="24"/>
          <w:szCs w:val="24"/>
        </w:rPr>
        <w:t>а</w:t>
      </w:r>
      <w:r w:rsidR="00667A80">
        <w:rPr>
          <w:rFonts w:ascii="Times New Roman" w:hAnsi="Times New Roman" w:cs="Times New Roman"/>
          <w:bCs/>
          <w:sz w:val="24"/>
          <w:szCs w:val="24"/>
        </w:rPr>
        <w:t>н в Ненецком автономном округе».</w:t>
      </w:r>
    </w:p>
    <w:p w:rsidR="00D66D0C" w:rsidRDefault="00D66D0C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44CD" w:rsidRDefault="006D45F0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12E06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4844CD" w:rsidRDefault="004844CD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80CBF" w:rsidRDefault="004844CD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4844CD">
        <w:rPr>
          <w:rFonts w:ascii="Times New Roman" w:hAnsi="Times New Roman" w:cs="Times New Roman"/>
          <w:sz w:val="24"/>
          <w:szCs w:val="24"/>
        </w:rPr>
        <w:t>1.</w:t>
      </w:r>
      <w:r w:rsidR="00B253CE">
        <w:rPr>
          <w:rFonts w:ascii="Times New Roman" w:hAnsi="Times New Roman" w:cs="Times New Roman"/>
          <w:sz w:val="24"/>
          <w:szCs w:val="24"/>
        </w:rPr>
        <w:t> </w:t>
      </w:r>
      <w:r w:rsidR="0043247A" w:rsidRPr="004844CD">
        <w:rPr>
          <w:rFonts w:ascii="Times New Roman" w:hAnsi="Times New Roman" w:cs="Times New Roman"/>
          <w:sz w:val="24"/>
        </w:rPr>
        <w:t xml:space="preserve">Настоящий закон вступает в </w:t>
      </w:r>
      <w:r w:rsidR="0043247A" w:rsidRPr="009215A1">
        <w:rPr>
          <w:rFonts w:ascii="Times New Roman" w:hAnsi="Times New Roman" w:cs="Times New Roman"/>
          <w:sz w:val="24"/>
        </w:rPr>
        <w:t>силу со дня его официального опубликования</w:t>
      </w:r>
      <w:r w:rsidR="00C80CBF" w:rsidRPr="009215A1">
        <w:rPr>
          <w:rFonts w:ascii="Times New Roman" w:hAnsi="Times New Roman" w:cs="Times New Roman"/>
          <w:sz w:val="24"/>
        </w:rPr>
        <w:t>.</w:t>
      </w:r>
    </w:p>
    <w:p w:rsidR="004844CD" w:rsidRPr="004844CD" w:rsidRDefault="00B253CE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2. </w:t>
      </w:r>
      <w:r w:rsidR="00C80CBF">
        <w:rPr>
          <w:rFonts w:ascii="Times New Roman" w:hAnsi="Times New Roman" w:cs="Times New Roman"/>
          <w:sz w:val="24"/>
        </w:rPr>
        <w:t xml:space="preserve">Действие настоящего закона </w:t>
      </w:r>
      <w:r w:rsidR="0043247A" w:rsidRPr="004844CD">
        <w:rPr>
          <w:rFonts w:ascii="Times New Roman" w:hAnsi="Times New Roman" w:cs="Times New Roman"/>
          <w:sz w:val="24"/>
        </w:rPr>
        <w:t xml:space="preserve">не распространяется на правоотношения, связанные с исполнением обязательств по </w:t>
      </w:r>
      <w:r w:rsidR="004844CD" w:rsidRPr="004844CD">
        <w:rPr>
          <w:rFonts w:ascii="Times New Roman" w:hAnsi="Times New Roman" w:cs="Times New Roman"/>
          <w:sz w:val="24"/>
        </w:rPr>
        <w:t>предоставлению кре</w:t>
      </w:r>
      <w:r>
        <w:rPr>
          <w:rFonts w:ascii="Times New Roman" w:hAnsi="Times New Roman" w:cs="Times New Roman"/>
          <w:sz w:val="24"/>
        </w:rPr>
        <w:t xml:space="preserve">дитным организациям субсидий из </w:t>
      </w:r>
      <w:r w:rsidR="004844CD" w:rsidRPr="004844CD">
        <w:rPr>
          <w:rFonts w:ascii="Times New Roman" w:hAnsi="Times New Roman" w:cs="Times New Roman"/>
          <w:sz w:val="24"/>
        </w:rPr>
        <w:t>окружного бюджета в целях возмещения недопо</w:t>
      </w:r>
      <w:r w:rsidR="00BD380C">
        <w:rPr>
          <w:rFonts w:ascii="Times New Roman" w:hAnsi="Times New Roman" w:cs="Times New Roman"/>
          <w:sz w:val="24"/>
        </w:rPr>
        <w:t>лученных доходов, возникающих в</w:t>
      </w:r>
      <w:r>
        <w:rPr>
          <w:rFonts w:ascii="Times New Roman" w:hAnsi="Times New Roman" w:cs="Times New Roman"/>
          <w:sz w:val="24"/>
        </w:rPr>
        <w:t xml:space="preserve"> </w:t>
      </w:r>
      <w:r w:rsidR="004844CD" w:rsidRPr="004844CD">
        <w:rPr>
          <w:rFonts w:ascii="Times New Roman" w:hAnsi="Times New Roman" w:cs="Times New Roman"/>
          <w:sz w:val="24"/>
        </w:rPr>
        <w:t xml:space="preserve">связи с установлением процентной ставки </w:t>
      </w:r>
      <w:r w:rsidR="0099547A">
        <w:rPr>
          <w:rFonts w:ascii="Times New Roman" w:hAnsi="Times New Roman" w:cs="Times New Roman"/>
          <w:sz w:val="24"/>
        </w:rPr>
        <w:t>в соответствии с</w:t>
      </w:r>
      <w:r w:rsidR="004844CD" w:rsidRPr="004844CD">
        <w:rPr>
          <w:rFonts w:ascii="Times New Roman" w:hAnsi="Times New Roman" w:cs="Times New Roman"/>
          <w:sz w:val="24"/>
        </w:rPr>
        <w:t xml:space="preserve"> законом </w:t>
      </w:r>
      <w:r w:rsidR="004844CD" w:rsidRPr="004844CD">
        <w:rPr>
          <w:rFonts w:ascii="Times New Roman" w:hAnsi="Times New Roman" w:cs="Times New Roman"/>
          <w:bCs/>
          <w:sz w:val="24"/>
          <w:szCs w:val="24"/>
        </w:rPr>
        <w:t>Ненецкого автономного округа от 13.07.2015 № 98-оз «Об обеспечении доступного жилищного кредитования для граждан в Ненецком автономном округе»</w:t>
      </w:r>
      <w:r w:rsidR="009954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47A" w:rsidRPr="004844CD">
        <w:rPr>
          <w:rFonts w:ascii="Times New Roman" w:hAnsi="Times New Roman" w:cs="Times New Roman"/>
          <w:sz w:val="24"/>
        </w:rPr>
        <w:t xml:space="preserve">по </w:t>
      </w:r>
      <w:r w:rsidR="0099547A">
        <w:rPr>
          <w:rFonts w:ascii="Times New Roman" w:hAnsi="Times New Roman" w:cs="Times New Roman"/>
          <w:sz w:val="24"/>
        </w:rPr>
        <w:t xml:space="preserve">кредитным договорам, </w:t>
      </w:r>
      <w:r w:rsidR="0099547A" w:rsidRPr="004844CD">
        <w:rPr>
          <w:rFonts w:ascii="Times New Roman" w:hAnsi="Times New Roman" w:cs="Times New Roman"/>
          <w:sz w:val="24"/>
        </w:rPr>
        <w:t>заключенным до дня вступления в силу настоящего закона</w:t>
      </w:r>
      <w:r w:rsidR="0099547A">
        <w:rPr>
          <w:rFonts w:ascii="Times New Roman" w:hAnsi="Times New Roman" w:cs="Times New Roman"/>
          <w:sz w:val="24"/>
        </w:rPr>
        <w:t>.</w:t>
      </w:r>
    </w:p>
    <w:p w:rsidR="00D143C8" w:rsidRDefault="00D143C8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0A1F" w:rsidRDefault="004B0A1F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0A1F" w:rsidRPr="00D66D0C" w:rsidRDefault="004B0A1F" w:rsidP="00C80C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66D0C" w:rsidRDefault="00D66D0C" w:rsidP="002572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80"/>
        <w:gridCol w:w="4490"/>
      </w:tblGrid>
      <w:tr w:rsidR="006D45F0" w:rsidRPr="00312E06" w:rsidTr="00A63AE0">
        <w:trPr>
          <w:trHeight w:val="466"/>
        </w:trPr>
        <w:tc>
          <w:tcPr>
            <w:tcW w:w="4696" w:type="dxa"/>
          </w:tcPr>
          <w:p w:rsidR="006D45F0" w:rsidRPr="00312E06" w:rsidRDefault="006D45F0" w:rsidP="00B2058D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>Председатель Собрания депутатов</w:t>
            </w:r>
          </w:p>
          <w:p w:rsidR="006D45F0" w:rsidRPr="00312E06" w:rsidRDefault="006D45F0" w:rsidP="00B2058D">
            <w:pPr>
              <w:autoSpaceDE w:val="0"/>
              <w:autoSpaceDN w:val="0"/>
              <w:adjustRightInd w:val="0"/>
              <w:spacing w:after="1000"/>
              <w:jc w:val="both"/>
              <w:outlineLvl w:val="0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 xml:space="preserve">Ненецкого автономного округа                                                    </w:t>
            </w:r>
          </w:p>
        </w:tc>
        <w:tc>
          <w:tcPr>
            <w:tcW w:w="4658" w:type="dxa"/>
          </w:tcPr>
          <w:p w:rsidR="006D45F0" w:rsidRPr="00312E06" w:rsidRDefault="006D45F0" w:rsidP="00B2058D">
            <w:pPr>
              <w:tabs>
                <w:tab w:val="left" w:pos="318"/>
              </w:tabs>
              <w:autoSpaceDE w:val="0"/>
              <w:autoSpaceDN w:val="0"/>
              <w:adjustRightInd w:val="0"/>
              <w:ind w:left="-107"/>
              <w:jc w:val="both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 xml:space="preserve">       </w:t>
            </w:r>
            <w:r w:rsidR="00D45A8E" w:rsidRPr="00312E06">
              <w:rPr>
                <w:b/>
                <w:sz w:val="24"/>
                <w:szCs w:val="24"/>
              </w:rPr>
              <w:t>Г</w:t>
            </w:r>
            <w:r w:rsidRPr="00312E06">
              <w:rPr>
                <w:b/>
                <w:sz w:val="24"/>
                <w:szCs w:val="24"/>
              </w:rPr>
              <w:t xml:space="preserve">убернатор                   </w:t>
            </w:r>
          </w:p>
          <w:p w:rsidR="006D45F0" w:rsidRPr="00312E06" w:rsidRDefault="006D45F0" w:rsidP="00B2058D">
            <w:pPr>
              <w:autoSpaceDE w:val="0"/>
              <w:autoSpaceDN w:val="0"/>
              <w:adjustRightInd w:val="0"/>
              <w:spacing w:after="1000"/>
              <w:jc w:val="both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 xml:space="preserve">     Ненецкого автономного округа</w:t>
            </w:r>
          </w:p>
        </w:tc>
      </w:tr>
      <w:tr w:rsidR="006D45F0" w:rsidRPr="00312E06" w:rsidTr="00E46267">
        <w:tc>
          <w:tcPr>
            <w:tcW w:w="4696" w:type="dxa"/>
          </w:tcPr>
          <w:p w:rsidR="006D45F0" w:rsidRPr="00603EB1" w:rsidRDefault="006D45F0" w:rsidP="00603EB1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 xml:space="preserve">                              </w:t>
            </w:r>
            <w:r w:rsidR="00603EB1">
              <w:rPr>
                <w:b/>
                <w:sz w:val="24"/>
                <w:szCs w:val="24"/>
              </w:rPr>
              <w:t>А.П. ЧУРСАНОВ</w:t>
            </w:r>
          </w:p>
        </w:tc>
        <w:tc>
          <w:tcPr>
            <w:tcW w:w="4658" w:type="dxa"/>
          </w:tcPr>
          <w:p w:rsidR="006D45F0" w:rsidRPr="00312E06" w:rsidRDefault="006D45F0" w:rsidP="00E759D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312E06">
              <w:rPr>
                <w:b/>
                <w:sz w:val="24"/>
                <w:szCs w:val="24"/>
              </w:rPr>
              <w:t xml:space="preserve">                             </w:t>
            </w:r>
            <w:r w:rsidR="000A7E6E" w:rsidRPr="00312E06"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6D45F0" w:rsidRPr="00312E06" w:rsidRDefault="006D45F0" w:rsidP="006D45F0">
      <w:pPr>
        <w:spacing w:before="1000" w:after="0" w:line="240" w:lineRule="auto"/>
        <w:rPr>
          <w:rFonts w:ascii="Times New Roman" w:hAnsi="Times New Roman" w:cs="Times New Roman"/>
          <w:sz w:val="24"/>
          <w:szCs w:val="24"/>
        </w:rPr>
      </w:pPr>
      <w:r w:rsidRPr="00312E06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6D45F0" w:rsidRPr="00312E06" w:rsidRDefault="006D45F0" w:rsidP="006D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E06">
        <w:rPr>
          <w:rFonts w:ascii="Times New Roman" w:hAnsi="Times New Roman" w:cs="Times New Roman"/>
          <w:sz w:val="24"/>
          <w:szCs w:val="24"/>
        </w:rPr>
        <w:t>«___»__________</w:t>
      </w:r>
      <w:r w:rsidR="00B253CE">
        <w:rPr>
          <w:rFonts w:ascii="Times New Roman" w:hAnsi="Times New Roman" w:cs="Times New Roman"/>
          <w:sz w:val="24"/>
          <w:szCs w:val="24"/>
        </w:rPr>
        <w:t xml:space="preserve"> </w:t>
      </w:r>
      <w:r w:rsidRPr="00312E06">
        <w:rPr>
          <w:rFonts w:ascii="Times New Roman" w:hAnsi="Times New Roman" w:cs="Times New Roman"/>
          <w:sz w:val="24"/>
          <w:szCs w:val="24"/>
        </w:rPr>
        <w:t>20</w:t>
      </w:r>
      <w:r w:rsidR="000A7E6E" w:rsidRPr="00312E06">
        <w:rPr>
          <w:rFonts w:ascii="Times New Roman" w:hAnsi="Times New Roman" w:cs="Times New Roman"/>
          <w:sz w:val="24"/>
          <w:szCs w:val="24"/>
        </w:rPr>
        <w:t>2</w:t>
      </w:r>
      <w:r w:rsidR="00603EB1">
        <w:rPr>
          <w:rFonts w:ascii="Times New Roman" w:hAnsi="Times New Roman" w:cs="Times New Roman"/>
          <w:sz w:val="24"/>
          <w:szCs w:val="24"/>
        </w:rPr>
        <w:t>4</w:t>
      </w:r>
      <w:r w:rsidRPr="00312E0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A594A" w:rsidRDefault="006D45F0" w:rsidP="006D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594A" w:rsidSect="00B253CE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312E06">
        <w:rPr>
          <w:rFonts w:ascii="Times New Roman" w:hAnsi="Times New Roman" w:cs="Times New Roman"/>
          <w:sz w:val="24"/>
          <w:szCs w:val="24"/>
        </w:rPr>
        <w:t>№ _____-оз</w:t>
      </w:r>
    </w:p>
    <w:p w:rsidR="006A05E9" w:rsidRPr="006A05E9" w:rsidRDefault="006A05E9" w:rsidP="006A05E9">
      <w:pPr>
        <w:widowControl w:val="0"/>
        <w:autoSpaceDE w:val="0"/>
        <w:autoSpaceDN w:val="0"/>
        <w:spacing w:before="78"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lastRenderedPageBreak/>
        <w:t>Пояснительная записка</w:t>
      </w:r>
    </w:p>
    <w:p w:rsidR="006A05E9" w:rsidRPr="006A05E9" w:rsidRDefault="006A05E9" w:rsidP="006A05E9">
      <w:pPr>
        <w:widowControl w:val="0"/>
        <w:autoSpaceDE w:val="0"/>
        <w:autoSpaceDN w:val="0"/>
        <w:spacing w:after="0" w:line="240" w:lineRule="auto"/>
        <w:ind w:left="1870" w:right="1876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к</w:t>
      </w:r>
      <w:r w:rsidRPr="006A05E9">
        <w:rPr>
          <w:rFonts w:ascii="Times New Roman" w:eastAsia="Times New Roman" w:hAnsi="Times New Roman" w:cs="Times New Roman"/>
          <w:b/>
          <w:spacing w:val="-3"/>
          <w:kern w:val="26"/>
          <w:sz w:val="26"/>
          <w:szCs w:val="26"/>
        </w:rPr>
        <w:t xml:space="preserve"> </w:t>
      </w: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проекту</w:t>
      </w:r>
      <w:r w:rsidRPr="006A05E9">
        <w:rPr>
          <w:rFonts w:ascii="Times New Roman" w:eastAsia="Times New Roman" w:hAnsi="Times New Roman" w:cs="Times New Roman"/>
          <w:b/>
          <w:spacing w:val="-1"/>
          <w:kern w:val="26"/>
          <w:sz w:val="26"/>
          <w:szCs w:val="26"/>
        </w:rPr>
        <w:t xml:space="preserve"> </w:t>
      </w: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закона</w:t>
      </w:r>
      <w:r w:rsidRPr="006A05E9">
        <w:rPr>
          <w:rFonts w:ascii="Times New Roman" w:eastAsia="Times New Roman" w:hAnsi="Times New Roman" w:cs="Times New Roman"/>
          <w:b/>
          <w:spacing w:val="-1"/>
          <w:kern w:val="26"/>
          <w:sz w:val="26"/>
          <w:szCs w:val="26"/>
        </w:rPr>
        <w:t xml:space="preserve"> </w:t>
      </w: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Ненецкого</w:t>
      </w:r>
      <w:r w:rsidRPr="006A05E9">
        <w:rPr>
          <w:rFonts w:ascii="Times New Roman" w:eastAsia="Times New Roman" w:hAnsi="Times New Roman" w:cs="Times New Roman"/>
          <w:b/>
          <w:spacing w:val="-2"/>
          <w:kern w:val="26"/>
          <w:sz w:val="26"/>
          <w:szCs w:val="26"/>
        </w:rPr>
        <w:t xml:space="preserve"> </w:t>
      </w: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автономного</w:t>
      </w:r>
      <w:r w:rsidRPr="006A05E9">
        <w:rPr>
          <w:rFonts w:ascii="Times New Roman" w:eastAsia="Times New Roman" w:hAnsi="Times New Roman" w:cs="Times New Roman"/>
          <w:b/>
          <w:spacing w:val="-2"/>
          <w:kern w:val="26"/>
          <w:sz w:val="26"/>
          <w:szCs w:val="26"/>
        </w:rPr>
        <w:t xml:space="preserve"> </w:t>
      </w: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округа</w:t>
      </w:r>
    </w:p>
    <w:p w:rsidR="006A05E9" w:rsidRPr="006A05E9" w:rsidRDefault="006A05E9" w:rsidP="006A05E9">
      <w:pPr>
        <w:widowControl w:val="0"/>
        <w:autoSpaceDE w:val="0"/>
        <w:autoSpaceDN w:val="0"/>
        <w:spacing w:after="0" w:line="240" w:lineRule="auto"/>
        <w:ind w:left="298" w:right="305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 xml:space="preserve">«О приостановлении действия закона Ненецкого автономного округа </w:t>
      </w:r>
    </w:p>
    <w:p w:rsidR="006A05E9" w:rsidRPr="006A05E9" w:rsidRDefault="006A05E9" w:rsidP="006A05E9">
      <w:pPr>
        <w:widowControl w:val="0"/>
        <w:autoSpaceDE w:val="0"/>
        <w:autoSpaceDN w:val="0"/>
        <w:spacing w:after="0" w:line="240" w:lineRule="auto"/>
        <w:ind w:left="298" w:right="305"/>
        <w:jc w:val="center"/>
        <w:rPr>
          <w:rFonts w:ascii="Times New Roman" w:eastAsia="Times New Roman" w:hAnsi="Times New Roman" w:cs="Times New Roman"/>
          <w:b/>
          <w:kern w:val="26"/>
          <w:sz w:val="26"/>
          <w:szCs w:val="26"/>
        </w:rPr>
      </w:pPr>
      <w:r w:rsidRPr="006A05E9">
        <w:rPr>
          <w:rFonts w:ascii="Times New Roman" w:eastAsia="Times New Roman" w:hAnsi="Times New Roman" w:cs="Times New Roman"/>
          <w:b/>
          <w:kern w:val="26"/>
          <w:sz w:val="26"/>
          <w:szCs w:val="26"/>
        </w:rPr>
        <w:t>«Об обеспечении доступного жилищного кредитования для граждан</w:t>
      </w:r>
    </w:p>
    <w:p w:rsidR="006A05E9" w:rsidRDefault="006A05E9" w:rsidP="006A05E9">
      <w:pPr>
        <w:pStyle w:val="a8"/>
        <w:ind w:left="0" w:right="0" w:firstLine="0"/>
        <w:jc w:val="center"/>
        <w:rPr>
          <w:b/>
          <w:kern w:val="26"/>
        </w:rPr>
      </w:pPr>
      <w:r w:rsidRPr="006A05E9">
        <w:rPr>
          <w:b/>
          <w:kern w:val="26"/>
        </w:rPr>
        <w:t>в Ненецком автономном округе»</w:t>
      </w:r>
    </w:p>
    <w:p w:rsidR="006A05E9" w:rsidRPr="00823F08" w:rsidRDefault="006A05E9" w:rsidP="006A05E9">
      <w:pPr>
        <w:pStyle w:val="a8"/>
        <w:ind w:left="0" w:right="0" w:firstLine="0"/>
        <w:jc w:val="left"/>
        <w:rPr>
          <w:b/>
          <w:kern w:val="26"/>
        </w:rPr>
      </w:pPr>
    </w:p>
    <w:p w:rsidR="006A05E9" w:rsidRPr="00823F08" w:rsidRDefault="006A05E9" w:rsidP="006A05E9">
      <w:pPr>
        <w:pStyle w:val="a8"/>
        <w:ind w:right="109"/>
        <w:rPr>
          <w:kern w:val="26"/>
        </w:rPr>
      </w:pPr>
      <w:r w:rsidRPr="00823F08">
        <w:rPr>
          <w:kern w:val="26"/>
        </w:rPr>
        <w:t>Субъект правотворческой инициативы: губернатор Ненецкого автономного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округа.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Разработчик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проекта: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Департамент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финансов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и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экономики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Ненецкого</w:t>
      </w:r>
      <w:r w:rsidRPr="00823F08">
        <w:rPr>
          <w:spacing w:val="1"/>
          <w:kern w:val="26"/>
        </w:rPr>
        <w:t xml:space="preserve"> </w:t>
      </w:r>
      <w:r w:rsidRPr="00823F08">
        <w:rPr>
          <w:kern w:val="26"/>
        </w:rPr>
        <w:t>автономного округа.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Проектом предлагается приостановить до 1 января 2028 года действие закона Ненецкого авт</w:t>
      </w:r>
      <w:r>
        <w:rPr>
          <w:kern w:val="26"/>
        </w:rPr>
        <w:t>ономного округа от 13.07.2015 № </w:t>
      </w:r>
      <w:r w:rsidRPr="00823F08">
        <w:rPr>
          <w:kern w:val="26"/>
        </w:rPr>
        <w:t>98-оз «Об обеспечении доступного жилищного кредитования для граждан в Ненецком автономном округе» (далее – закон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 xml:space="preserve">98-оз). При этом действие проекта не распространяется на правоотношения, связанные с исполнением обязательств по предоставлению кредитным организациям субсидий из окружного бюджета в целях возмещения недополученных доходов, возникающих в связи с установлением по заключенным </w:t>
      </w:r>
      <w:r>
        <w:rPr>
          <w:kern w:val="26"/>
        </w:rPr>
        <w:br/>
      </w:r>
      <w:r w:rsidRPr="00823F08">
        <w:rPr>
          <w:kern w:val="26"/>
        </w:rPr>
        <w:t>до дня вступления в силу проекта кредитным договорам процентной ставки в размере, установленном законом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 xml:space="preserve">98-оз. </w:t>
      </w:r>
    </w:p>
    <w:p w:rsidR="006A05E9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Закон Ненецкого автономного округа №</w:t>
      </w:r>
      <w:r>
        <w:rPr>
          <w:kern w:val="26"/>
        </w:rPr>
        <w:t> </w:t>
      </w:r>
      <w:r w:rsidRPr="00823F08">
        <w:rPr>
          <w:kern w:val="26"/>
        </w:rPr>
        <w:t>98-оз</w:t>
      </w:r>
      <w:r>
        <w:rPr>
          <w:kern w:val="26"/>
        </w:rPr>
        <w:t>,</w:t>
      </w:r>
      <w:r w:rsidRPr="00823F08">
        <w:rPr>
          <w:kern w:val="26"/>
        </w:rPr>
        <w:t xml:space="preserve"> принят</w:t>
      </w:r>
      <w:r>
        <w:rPr>
          <w:kern w:val="26"/>
        </w:rPr>
        <w:t>ый</w:t>
      </w:r>
      <w:r w:rsidRPr="00823F08">
        <w:rPr>
          <w:kern w:val="26"/>
        </w:rPr>
        <w:t xml:space="preserve"> в июле 2015 года, предусматривает предоставление кредитным организациям субсидий из окружного бюджета в целях возмещения недополученных доходов, возникающих</w:t>
      </w:r>
      <w:r>
        <w:rPr>
          <w:kern w:val="26"/>
        </w:rPr>
        <w:t xml:space="preserve"> в связи </w:t>
      </w:r>
      <w:r>
        <w:rPr>
          <w:kern w:val="26"/>
        </w:rPr>
        <w:br/>
        <w:t xml:space="preserve">с </w:t>
      </w:r>
      <w:r w:rsidRPr="00823F08">
        <w:rPr>
          <w:kern w:val="26"/>
        </w:rPr>
        <w:t>установлением по кредитным договорам за пользование жилищным кредитом пониженной процентной ставки.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На момент принятия закона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 xml:space="preserve">98-оз участие в его реализации изъявила только одна кредитная организация – акционерное общество «Московский Индустриальный банк», иные кредитные организации, находящиеся </w:t>
      </w:r>
      <w:r>
        <w:rPr>
          <w:kern w:val="26"/>
        </w:rPr>
        <w:br/>
      </w:r>
      <w:r w:rsidRPr="00823F08">
        <w:rPr>
          <w:kern w:val="26"/>
        </w:rPr>
        <w:t xml:space="preserve">на территории Ненецкого автономного округа, от участия отказались. 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За период с декабря 2015 года по сентябрь 2019 год в рамках закона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 xml:space="preserve">98-оз акционерным обществом «Московский Индустриальный банк» выдано 276 жилищных кредитов с применением пониженной процентной ставки. Затем акционерное общество «Московский Индустриальный банк» сообщило о том, </w:t>
      </w:r>
      <w:r>
        <w:rPr>
          <w:kern w:val="26"/>
        </w:rPr>
        <w:br/>
      </w:r>
      <w:r w:rsidRPr="00823F08">
        <w:rPr>
          <w:kern w:val="26"/>
        </w:rPr>
        <w:t>что приняло решение прекратить выдачу новых жилищных кредитов в рамках данного закона. Таким образом, на протяжении пяти лет (с октября 2019 года по настоящее время) акционерным обществом «Московский Индустриальный банк» (</w:t>
      </w:r>
      <w:r>
        <w:rPr>
          <w:kern w:val="26"/>
        </w:rPr>
        <w:t xml:space="preserve">в настоящее время в связи с </w:t>
      </w:r>
      <w:r w:rsidRPr="00823F08">
        <w:rPr>
          <w:kern w:val="26"/>
        </w:rPr>
        <w:t>реорганизацией – публичным акционерным обществом «Промсвязьбанк») новые жилищные кредиты в рамках закона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>98-оз не выдаются. Выдача субсидии данному банку осуществляется в целях возмещения недополученных доходов по ранее выданным в 2015</w:t>
      </w:r>
      <w:r>
        <w:rPr>
          <w:kern w:val="26"/>
        </w:rPr>
        <w:t>–</w:t>
      </w:r>
      <w:r w:rsidRPr="00823F08">
        <w:rPr>
          <w:kern w:val="26"/>
        </w:rPr>
        <w:t>2019 г</w:t>
      </w:r>
      <w:r>
        <w:rPr>
          <w:kern w:val="26"/>
        </w:rPr>
        <w:t>одах жилищным кредитам.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Иные кредитные организации, находящиеся на территории Ненецкого автономного округа, за весь период действия закона Ненецкого автономного округа №</w:t>
      </w:r>
      <w:r>
        <w:rPr>
          <w:kern w:val="26"/>
        </w:rPr>
        <w:t> </w:t>
      </w:r>
      <w:r w:rsidRPr="00823F08">
        <w:rPr>
          <w:kern w:val="26"/>
        </w:rPr>
        <w:t xml:space="preserve">98-оз </w:t>
      </w:r>
      <w:r>
        <w:rPr>
          <w:kern w:val="26"/>
        </w:rPr>
        <w:br/>
      </w:r>
      <w:r w:rsidRPr="00823F08">
        <w:rPr>
          <w:kern w:val="26"/>
        </w:rPr>
        <w:t>не</w:t>
      </w:r>
      <w:r>
        <w:rPr>
          <w:kern w:val="26"/>
        </w:rPr>
        <w:t xml:space="preserve"> </w:t>
      </w:r>
      <w:r w:rsidRPr="00823F08">
        <w:rPr>
          <w:kern w:val="26"/>
        </w:rPr>
        <w:t xml:space="preserve">выражали заинтересованности в реализации </w:t>
      </w:r>
      <w:r>
        <w:rPr>
          <w:kern w:val="26"/>
        </w:rPr>
        <w:t xml:space="preserve">указанного </w:t>
      </w:r>
      <w:r w:rsidRPr="00823F08">
        <w:rPr>
          <w:kern w:val="26"/>
        </w:rPr>
        <w:t xml:space="preserve">закона и не обращались </w:t>
      </w:r>
      <w:r>
        <w:rPr>
          <w:kern w:val="26"/>
        </w:rPr>
        <w:br/>
        <w:t xml:space="preserve">за </w:t>
      </w:r>
      <w:r w:rsidRPr="00823F08">
        <w:rPr>
          <w:kern w:val="26"/>
        </w:rPr>
        <w:t>получением субсидии.</w:t>
      </w:r>
    </w:p>
    <w:p w:rsidR="006A05E9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Концепция закона Ненецкого автономн</w:t>
      </w:r>
      <w:r>
        <w:rPr>
          <w:kern w:val="26"/>
        </w:rPr>
        <w:t>ого округа № </w:t>
      </w:r>
      <w:r w:rsidRPr="00823F08">
        <w:rPr>
          <w:kern w:val="26"/>
        </w:rPr>
        <w:t xml:space="preserve">98-оз в части расчета размера субсидий кредитным организациям предполагает значительные расходы из окружного бюджета. Так, </w:t>
      </w:r>
      <w:r>
        <w:rPr>
          <w:kern w:val="26"/>
        </w:rPr>
        <w:t xml:space="preserve">в соответствии с </w:t>
      </w:r>
      <w:r w:rsidRPr="00823F08">
        <w:rPr>
          <w:kern w:val="26"/>
        </w:rPr>
        <w:t>закон</w:t>
      </w:r>
      <w:r>
        <w:rPr>
          <w:kern w:val="26"/>
        </w:rPr>
        <w:t>ом Ненецкого автономного округа № 98</w:t>
      </w:r>
      <w:r w:rsidRPr="00823F08">
        <w:rPr>
          <w:kern w:val="26"/>
        </w:rPr>
        <w:t xml:space="preserve">, размер субсидии в целях возмещения недополученных доходов кредитных организаций составляет разницу между кредитной ставкой кредитной организации по жилищным кредитам, установленной в целях реализации </w:t>
      </w:r>
      <w:r>
        <w:rPr>
          <w:kern w:val="26"/>
        </w:rPr>
        <w:t>закона, и ставкой 1 </w:t>
      </w:r>
      <w:r w:rsidRPr="00823F08">
        <w:rPr>
          <w:kern w:val="26"/>
        </w:rPr>
        <w:t>% годовых.</w:t>
      </w:r>
      <w:r>
        <w:rPr>
          <w:kern w:val="26"/>
        </w:rPr>
        <w:t xml:space="preserve"> </w:t>
      </w:r>
      <w:r>
        <w:rPr>
          <w:kern w:val="26"/>
        </w:rPr>
        <w:br/>
      </w:r>
      <w:r w:rsidRPr="00823F08">
        <w:rPr>
          <w:kern w:val="26"/>
        </w:rPr>
        <w:t>При этом размер субсидии не может превышать разницу между действующей ключевой ставкой Банка России, увеличенной</w:t>
      </w:r>
      <w:r>
        <w:rPr>
          <w:kern w:val="26"/>
        </w:rPr>
        <w:t xml:space="preserve"> на </w:t>
      </w:r>
      <w:r w:rsidRPr="00823F08">
        <w:rPr>
          <w:kern w:val="26"/>
        </w:rPr>
        <w:t>2</w:t>
      </w:r>
      <w:r>
        <w:rPr>
          <w:kern w:val="26"/>
        </w:rPr>
        <w:t> </w:t>
      </w:r>
      <w:r w:rsidRPr="00823F08">
        <w:rPr>
          <w:kern w:val="26"/>
        </w:rPr>
        <w:t>%, и ставкой 1</w:t>
      </w:r>
      <w:r>
        <w:rPr>
          <w:kern w:val="26"/>
        </w:rPr>
        <w:t> </w:t>
      </w:r>
      <w:r w:rsidRPr="00823F08">
        <w:rPr>
          <w:kern w:val="26"/>
        </w:rPr>
        <w:t>% годовых. Таким образом, заемщи</w:t>
      </w:r>
      <w:r>
        <w:rPr>
          <w:kern w:val="26"/>
        </w:rPr>
        <w:t xml:space="preserve">к платит проценты по ставке 1 % </w:t>
      </w:r>
      <w:r w:rsidRPr="00823F08">
        <w:rPr>
          <w:kern w:val="26"/>
        </w:rPr>
        <w:t xml:space="preserve">годовых, остальная часть субсидируется </w:t>
      </w:r>
      <w:r>
        <w:rPr>
          <w:kern w:val="26"/>
        </w:rPr>
        <w:br/>
      </w:r>
      <w:r w:rsidRPr="00823F08">
        <w:rPr>
          <w:kern w:val="26"/>
        </w:rPr>
        <w:t xml:space="preserve">из окружного бюджета. </w:t>
      </w:r>
    </w:p>
    <w:p w:rsidR="006A05E9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Так, с 29 июля 2024 года ключевая ставка составляет 18</w:t>
      </w:r>
      <w:r>
        <w:rPr>
          <w:kern w:val="26"/>
        </w:rPr>
        <w:t> </w:t>
      </w:r>
      <w:r w:rsidRPr="00823F08">
        <w:rPr>
          <w:kern w:val="26"/>
        </w:rPr>
        <w:t>% годовых. Кредитная ставка кредитной организации составляет 20</w:t>
      </w:r>
      <w:r>
        <w:rPr>
          <w:kern w:val="26"/>
        </w:rPr>
        <w:t> </w:t>
      </w:r>
      <w:r w:rsidRPr="00823F08">
        <w:rPr>
          <w:kern w:val="26"/>
        </w:rPr>
        <w:t>% годовых, из них 1</w:t>
      </w:r>
      <w:r>
        <w:rPr>
          <w:kern w:val="26"/>
        </w:rPr>
        <w:t> </w:t>
      </w:r>
      <w:r w:rsidRPr="00823F08">
        <w:rPr>
          <w:kern w:val="26"/>
        </w:rPr>
        <w:t>% годовых платит заемщик, 19 % годовых – субсидируется из окружного бюджета.</w:t>
      </w:r>
      <w:r>
        <w:rPr>
          <w:kern w:val="26"/>
        </w:rPr>
        <w:t xml:space="preserve"> За период январь – </w:t>
      </w:r>
      <w:r w:rsidRPr="00823F08">
        <w:rPr>
          <w:kern w:val="26"/>
        </w:rPr>
        <w:t xml:space="preserve">июль 2024 года среднемесячный размер субсидии публичному акционерному обществу «Промсвязьбанк» составлял </w:t>
      </w:r>
      <w:r>
        <w:rPr>
          <w:kern w:val="26"/>
        </w:rPr>
        <w:t>4 </w:t>
      </w:r>
      <w:r w:rsidRPr="00823F08">
        <w:rPr>
          <w:kern w:val="26"/>
        </w:rPr>
        <w:t>365</w:t>
      </w:r>
      <w:r>
        <w:rPr>
          <w:kern w:val="26"/>
        </w:rPr>
        <w:t>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 xml:space="preserve">рублей (количество субсидируемых кредитов </w:t>
      </w:r>
      <w:r>
        <w:rPr>
          <w:kern w:val="26"/>
        </w:rPr>
        <w:br/>
      </w:r>
      <w:r w:rsidRPr="00823F08">
        <w:rPr>
          <w:kern w:val="26"/>
        </w:rPr>
        <w:t xml:space="preserve">по состоянию </w:t>
      </w:r>
      <w:r>
        <w:rPr>
          <w:kern w:val="26"/>
        </w:rPr>
        <w:t xml:space="preserve">на </w:t>
      </w:r>
      <w:r w:rsidRPr="00823F08">
        <w:rPr>
          <w:kern w:val="26"/>
        </w:rPr>
        <w:t>1 июля 2024 года</w:t>
      </w:r>
      <w:r>
        <w:rPr>
          <w:kern w:val="26"/>
        </w:rPr>
        <w:t xml:space="preserve"> составляет </w:t>
      </w:r>
      <w:r w:rsidRPr="00823F08">
        <w:rPr>
          <w:kern w:val="26"/>
        </w:rPr>
        <w:t xml:space="preserve">203 штуки). Указанный </w:t>
      </w:r>
      <w:r>
        <w:rPr>
          <w:kern w:val="26"/>
        </w:rPr>
        <w:t xml:space="preserve">размер субсидии рассчитывался с </w:t>
      </w:r>
      <w:r w:rsidRPr="00823F08">
        <w:rPr>
          <w:kern w:val="26"/>
        </w:rPr>
        <w:t>применением ключевой ставки Банка России в размере 16</w:t>
      </w:r>
      <w:r>
        <w:rPr>
          <w:kern w:val="26"/>
        </w:rPr>
        <w:t> </w:t>
      </w:r>
      <w:r w:rsidRPr="00823F08">
        <w:rPr>
          <w:kern w:val="26"/>
        </w:rPr>
        <w:t xml:space="preserve">% годовых. </w:t>
      </w:r>
      <w:r>
        <w:rPr>
          <w:kern w:val="26"/>
        </w:rPr>
        <w:br/>
      </w:r>
      <w:r w:rsidRPr="00823F08">
        <w:rPr>
          <w:kern w:val="26"/>
        </w:rPr>
        <w:t>В</w:t>
      </w:r>
      <w:r>
        <w:rPr>
          <w:kern w:val="26"/>
        </w:rPr>
        <w:t xml:space="preserve"> связи с </w:t>
      </w:r>
      <w:r w:rsidRPr="00823F08">
        <w:rPr>
          <w:kern w:val="26"/>
        </w:rPr>
        <w:t>увеличением</w:t>
      </w:r>
      <w:r>
        <w:rPr>
          <w:kern w:val="26"/>
        </w:rPr>
        <w:t xml:space="preserve"> ключевой ставки до 18 </w:t>
      </w:r>
      <w:r w:rsidRPr="00823F08">
        <w:rPr>
          <w:kern w:val="26"/>
        </w:rPr>
        <w:t xml:space="preserve">% годовых расходы окружного бюджета </w:t>
      </w:r>
      <w:r>
        <w:rPr>
          <w:kern w:val="26"/>
        </w:rPr>
        <w:br/>
      </w:r>
      <w:r w:rsidRPr="00823F08">
        <w:rPr>
          <w:kern w:val="26"/>
        </w:rPr>
        <w:t>на</w:t>
      </w:r>
      <w:r>
        <w:rPr>
          <w:kern w:val="26"/>
        </w:rPr>
        <w:t xml:space="preserve"> </w:t>
      </w:r>
      <w:r w:rsidRPr="00823F08">
        <w:rPr>
          <w:kern w:val="26"/>
        </w:rPr>
        <w:t>предоставление субсидии кредитной организации увеличатся.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 xml:space="preserve">Срок обязательств </w:t>
      </w:r>
      <w:r>
        <w:rPr>
          <w:kern w:val="26"/>
        </w:rPr>
        <w:t xml:space="preserve">Ненецкого автономного </w:t>
      </w:r>
      <w:r w:rsidRPr="00823F08">
        <w:rPr>
          <w:kern w:val="26"/>
        </w:rPr>
        <w:t>округа по предоставлению субсидий креди</w:t>
      </w:r>
      <w:r>
        <w:rPr>
          <w:kern w:val="26"/>
        </w:rPr>
        <w:t xml:space="preserve">тной организации – в течение 15 </w:t>
      </w:r>
      <w:r w:rsidRPr="00823F08">
        <w:rPr>
          <w:kern w:val="26"/>
        </w:rPr>
        <w:t>лет со дня заключения кредитного договора.</w:t>
      </w:r>
    </w:p>
    <w:p w:rsidR="006A05E9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 xml:space="preserve">В связи с изменениями размера ключевой ставки Банка России возникают трудности с определением потребности в финансировании на очередной год, </w:t>
      </w:r>
      <w:r>
        <w:rPr>
          <w:kern w:val="26"/>
        </w:rPr>
        <w:t xml:space="preserve">так как </w:t>
      </w:r>
      <w:r w:rsidRPr="00823F08">
        <w:rPr>
          <w:kern w:val="26"/>
        </w:rPr>
        <w:t>невозможно спрогнозировать изменение размера</w:t>
      </w:r>
      <w:r>
        <w:rPr>
          <w:kern w:val="26"/>
        </w:rPr>
        <w:t xml:space="preserve"> ключевой ставки Банка России в </w:t>
      </w:r>
      <w:r w:rsidRPr="00823F08">
        <w:rPr>
          <w:kern w:val="26"/>
        </w:rPr>
        <w:t xml:space="preserve">очередном финансовом году. При увеличении размера ключевой ставки размер субсидии увеличивается, в связи с чем приходится увеличивать лимит бюджетных обязательств. 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>
        <w:rPr>
          <w:kern w:val="26"/>
        </w:rPr>
        <w:t>Т</w:t>
      </w:r>
      <w:r w:rsidRPr="00823F08">
        <w:rPr>
          <w:kern w:val="26"/>
        </w:rPr>
        <w:t>ак, в феврале 2022 года ключевая ставка была увеличена с 9,5</w:t>
      </w:r>
      <w:r>
        <w:rPr>
          <w:kern w:val="26"/>
        </w:rPr>
        <w:t> </w:t>
      </w:r>
      <w:r w:rsidRPr="00823F08">
        <w:rPr>
          <w:kern w:val="26"/>
        </w:rPr>
        <w:t>% годовых до 20</w:t>
      </w:r>
      <w:r>
        <w:rPr>
          <w:kern w:val="26"/>
        </w:rPr>
        <w:t> </w:t>
      </w:r>
      <w:r w:rsidRPr="00823F08">
        <w:rPr>
          <w:kern w:val="26"/>
        </w:rPr>
        <w:t>% годовых, что привело к значительному увеличению размера субсидии, начиная с марта 2022 года: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 xml:space="preserve">за январь 2022 года </w:t>
      </w:r>
      <w:r>
        <w:rPr>
          <w:kern w:val="26"/>
        </w:rPr>
        <w:t>– 3 574,2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</w:t>
      </w:r>
      <w:r>
        <w:rPr>
          <w:kern w:val="26"/>
        </w:rPr>
        <w:t>;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</w:t>
      </w:r>
      <w:r>
        <w:rPr>
          <w:kern w:val="26"/>
        </w:rPr>
        <w:t>а февраль 2022 года – 3 483,6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</w:t>
      </w:r>
      <w:r>
        <w:rPr>
          <w:kern w:val="26"/>
        </w:rPr>
        <w:t>;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</w:t>
      </w:r>
      <w:r>
        <w:rPr>
          <w:kern w:val="26"/>
        </w:rPr>
        <w:t>а март 2022 года – 7 </w:t>
      </w:r>
      <w:r w:rsidRPr="00823F08">
        <w:rPr>
          <w:kern w:val="26"/>
        </w:rPr>
        <w:t>656,0</w:t>
      </w:r>
      <w:r>
        <w:rPr>
          <w:kern w:val="26"/>
        </w:rPr>
        <w:t>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</w:t>
      </w:r>
      <w:r>
        <w:rPr>
          <w:kern w:val="26"/>
        </w:rPr>
        <w:t>;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</w:t>
      </w:r>
      <w:r>
        <w:rPr>
          <w:kern w:val="26"/>
        </w:rPr>
        <w:t>а апрель 2022 года – 6 </w:t>
      </w:r>
      <w:r w:rsidRPr="00823F08">
        <w:rPr>
          <w:kern w:val="26"/>
        </w:rPr>
        <w:t>601,5</w:t>
      </w:r>
      <w:r>
        <w:rPr>
          <w:kern w:val="26"/>
        </w:rPr>
        <w:t>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</w:t>
      </w:r>
      <w:r>
        <w:rPr>
          <w:kern w:val="26"/>
        </w:rPr>
        <w:t>;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з</w:t>
      </w:r>
      <w:r>
        <w:rPr>
          <w:kern w:val="26"/>
        </w:rPr>
        <w:t>а май 2022 года – 5 261,1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</w:t>
      </w:r>
      <w:r>
        <w:rPr>
          <w:kern w:val="26"/>
        </w:rPr>
        <w:t>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Общий размер расходов окружного бюджета на выплату субсидии банку за 2021 год составил 30</w:t>
      </w:r>
      <w:r>
        <w:rPr>
          <w:kern w:val="26"/>
        </w:rPr>
        <w:t> </w:t>
      </w:r>
      <w:r w:rsidRPr="00823F08">
        <w:rPr>
          <w:kern w:val="26"/>
        </w:rPr>
        <w:t>763,5</w:t>
      </w:r>
      <w:r>
        <w:rPr>
          <w:kern w:val="26"/>
        </w:rPr>
        <w:t>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 xml:space="preserve">рублей, за 2022 год размер расходов увеличился </w:t>
      </w:r>
      <w:r>
        <w:rPr>
          <w:kern w:val="26"/>
        </w:rPr>
        <w:br/>
      </w:r>
      <w:r w:rsidRPr="00823F08">
        <w:rPr>
          <w:kern w:val="26"/>
        </w:rPr>
        <w:t>до 48</w:t>
      </w:r>
      <w:r>
        <w:rPr>
          <w:kern w:val="26"/>
        </w:rPr>
        <w:t> </w:t>
      </w:r>
      <w:r w:rsidRPr="00823F08">
        <w:rPr>
          <w:kern w:val="26"/>
        </w:rPr>
        <w:t>621,7</w:t>
      </w:r>
      <w:r>
        <w:rPr>
          <w:kern w:val="26"/>
        </w:rPr>
        <w:t> </w:t>
      </w:r>
      <w:r w:rsidRPr="00823F08">
        <w:rPr>
          <w:kern w:val="26"/>
        </w:rPr>
        <w:t>тыс.</w:t>
      </w:r>
      <w:r>
        <w:rPr>
          <w:kern w:val="26"/>
        </w:rPr>
        <w:t> </w:t>
      </w:r>
      <w:r w:rsidRPr="00823F08">
        <w:rPr>
          <w:kern w:val="26"/>
        </w:rPr>
        <w:t>рублей. Темп роста составил 63,2</w:t>
      </w:r>
      <w:r>
        <w:rPr>
          <w:kern w:val="26"/>
        </w:rPr>
        <w:t> </w:t>
      </w:r>
      <w:r w:rsidRPr="00823F08">
        <w:rPr>
          <w:kern w:val="26"/>
        </w:rPr>
        <w:t>%.</w:t>
      </w:r>
    </w:p>
    <w:p w:rsidR="006A05E9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В течение 2023 года размер ключевой ставки менялся пят</w:t>
      </w:r>
      <w:r>
        <w:rPr>
          <w:kern w:val="26"/>
        </w:rPr>
        <w:t>ь раз (в сторону увеличения</w:t>
      </w:r>
      <w:r w:rsidRPr="00823F08">
        <w:rPr>
          <w:kern w:val="26"/>
        </w:rPr>
        <w:t xml:space="preserve"> с 8,5</w:t>
      </w:r>
      <w:r>
        <w:rPr>
          <w:kern w:val="26"/>
        </w:rPr>
        <w:t> </w:t>
      </w:r>
      <w:r w:rsidRPr="00823F08">
        <w:rPr>
          <w:kern w:val="26"/>
        </w:rPr>
        <w:t>% годовых до 16</w:t>
      </w:r>
      <w:r>
        <w:rPr>
          <w:kern w:val="26"/>
        </w:rPr>
        <w:t> </w:t>
      </w:r>
      <w:r w:rsidRPr="00823F08">
        <w:rPr>
          <w:kern w:val="26"/>
        </w:rPr>
        <w:t xml:space="preserve">% годовых), соответственно, </w:t>
      </w:r>
      <w:r>
        <w:rPr>
          <w:kern w:val="26"/>
        </w:rPr>
        <w:t xml:space="preserve">увеличился лимит бюджетных ассигнований. 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>
        <w:rPr>
          <w:kern w:val="26"/>
        </w:rPr>
        <w:t>Ежего</w:t>
      </w:r>
      <w:r w:rsidRPr="00823F08">
        <w:rPr>
          <w:kern w:val="26"/>
        </w:rPr>
        <w:t xml:space="preserve">дно окружной бюджет формируется с предельным уровнем дефицита. </w:t>
      </w:r>
      <w:r>
        <w:rPr>
          <w:kern w:val="26"/>
        </w:rPr>
        <w:br/>
      </w:r>
      <w:r w:rsidRPr="00823F08">
        <w:rPr>
          <w:kern w:val="26"/>
        </w:rPr>
        <w:t>В связи с дефицитом окружного бюджета увеличение расходных обязательств округа является обременительным, необходимо проводить сдержанную долговую политику. Полагаем, что такая концепция субсидирования, при которой рас</w:t>
      </w:r>
      <w:r>
        <w:rPr>
          <w:kern w:val="26"/>
        </w:rPr>
        <w:t xml:space="preserve">чет размера субсидии зависит от </w:t>
      </w:r>
      <w:r w:rsidRPr="00823F08">
        <w:rPr>
          <w:kern w:val="26"/>
        </w:rPr>
        <w:t>изменений ключевой ставки Банка России, является нежелател</w:t>
      </w:r>
      <w:r>
        <w:rPr>
          <w:kern w:val="26"/>
        </w:rPr>
        <w:t xml:space="preserve">ьной, поскольку не </w:t>
      </w:r>
      <w:r w:rsidRPr="00823F08">
        <w:rPr>
          <w:kern w:val="26"/>
        </w:rPr>
        <w:t>позволяет точно рассчитать размер необхо</w:t>
      </w:r>
      <w:r>
        <w:rPr>
          <w:kern w:val="26"/>
        </w:rPr>
        <w:t xml:space="preserve">димых бюджетных ассигнований </w:t>
      </w:r>
      <w:r>
        <w:rPr>
          <w:kern w:val="26"/>
        </w:rPr>
        <w:br/>
        <w:t xml:space="preserve">на </w:t>
      </w:r>
      <w:r w:rsidRPr="00823F08">
        <w:rPr>
          <w:kern w:val="26"/>
        </w:rPr>
        <w:t>очередной финансовый год и приводит к необходимости увеличения размера бюджетных ассигновани</w:t>
      </w:r>
      <w:r>
        <w:rPr>
          <w:kern w:val="26"/>
        </w:rPr>
        <w:t>й в течение финансового года.</w:t>
      </w:r>
    </w:p>
    <w:p w:rsidR="006A05E9" w:rsidRDefault="006A05E9" w:rsidP="006A05E9">
      <w:pPr>
        <w:pStyle w:val="a8"/>
        <w:ind w:right="110"/>
        <w:rPr>
          <w:kern w:val="26"/>
        </w:rPr>
        <w:sectPr w:rsidR="006A05E9" w:rsidSect="006A05E9">
          <w:headerReference w:type="default" r:id="rId7"/>
          <w:pgSz w:w="11910" w:h="16840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823F08">
        <w:rPr>
          <w:kern w:val="26"/>
        </w:rPr>
        <w:t xml:space="preserve">В связи с тем, что к участию в </w:t>
      </w:r>
      <w:r>
        <w:rPr>
          <w:kern w:val="26"/>
        </w:rPr>
        <w:t xml:space="preserve">его </w:t>
      </w:r>
      <w:r w:rsidRPr="00823F08">
        <w:rPr>
          <w:kern w:val="26"/>
        </w:rPr>
        <w:t>реализации закона</w:t>
      </w:r>
      <w:r>
        <w:rPr>
          <w:kern w:val="26"/>
        </w:rPr>
        <w:t xml:space="preserve"> Ненецкого автономного округа № </w:t>
      </w:r>
      <w:r w:rsidRPr="00823F08">
        <w:rPr>
          <w:kern w:val="26"/>
        </w:rPr>
        <w:t xml:space="preserve">98-оз заявилась только одна кредитная организация, которая на протяжении последних пяти лет не выдает новых кредитов с применением пониженной процентной ставки, </w:t>
      </w:r>
      <w:r>
        <w:rPr>
          <w:kern w:val="26"/>
        </w:rPr>
        <w:br/>
        <w:t xml:space="preserve">а также </w:t>
      </w:r>
      <w:r w:rsidRPr="00823F08">
        <w:rPr>
          <w:kern w:val="26"/>
        </w:rPr>
        <w:t xml:space="preserve">в связи с большой нагрузкой на окружной бюджет, которая возникнет в случае субсидирования новых кредитов, предлагаем приостановить до 1 января 2028 года </w:t>
      </w:r>
    </w:p>
    <w:p w:rsidR="006A05E9" w:rsidRDefault="006A05E9" w:rsidP="006A05E9">
      <w:pPr>
        <w:pStyle w:val="a8"/>
        <w:ind w:right="110" w:firstLine="41"/>
        <w:rPr>
          <w:kern w:val="26"/>
        </w:rPr>
      </w:pPr>
      <w:r w:rsidRPr="00823F08">
        <w:rPr>
          <w:kern w:val="26"/>
        </w:rPr>
        <w:t xml:space="preserve">действие закона Ненецкого автономного округа </w:t>
      </w:r>
      <w:r>
        <w:rPr>
          <w:kern w:val="26"/>
        </w:rPr>
        <w:t>№ </w:t>
      </w:r>
      <w:r w:rsidRPr="00823F08">
        <w:rPr>
          <w:kern w:val="26"/>
        </w:rPr>
        <w:t xml:space="preserve">98-оз. 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>
        <w:rPr>
          <w:kern w:val="26"/>
        </w:rPr>
        <w:t>П</w:t>
      </w:r>
      <w:r w:rsidRPr="00823F08">
        <w:rPr>
          <w:kern w:val="26"/>
        </w:rPr>
        <w:t>о выданным в 2015</w:t>
      </w:r>
      <w:r>
        <w:rPr>
          <w:kern w:val="26"/>
        </w:rPr>
        <w:t>–</w:t>
      </w:r>
      <w:r w:rsidRPr="00823F08">
        <w:rPr>
          <w:kern w:val="26"/>
        </w:rPr>
        <w:t>2019 г</w:t>
      </w:r>
      <w:r>
        <w:rPr>
          <w:kern w:val="26"/>
        </w:rPr>
        <w:t>одах</w:t>
      </w:r>
      <w:r w:rsidRPr="00823F08">
        <w:rPr>
          <w:kern w:val="26"/>
        </w:rPr>
        <w:t xml:space="preserve"> жилищным кредитам субсидирование будет продолжено.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Проект не содержит положений, указанных в пунктах 1</w:t>
      </w:r>
      <w:r>
        <w:rPr>
          <w:kern w:val="26"/>
        </w:rPr>
        <w:t>–</w:t>
      </w:r>
      <w:r w:rsidRPr="00823F08">
        <w:rPr>
          <w:kern w:val="26"/>
        </w:rPr>
        <w:t>3 части 1 статьи 53 Федерального закона от 21</w:t>
      </w:r>
      <w:r>
        <w:rPr>
          <w:kern w:val="26"/>
        </w:rPr>
        <w:t xml:space="preserve"> декабря </w:t>
      </w:r>
      <w:r w:rsidRPr="00823F08">
        <w:rPr>
          <w:kern w:val="26"/>
        </w:rPr>
        <w:t xml:space="preserve">2021 </w:t>
      </w:r>
      <w:r>
        <w:rPr>
          <w:kern w:val="26"/>
        </w:rPr>
        <w:t>года № </w:t>
      </w:r>
      <w:r w:rsidRPr="00823F08">
        <w:rPr>
          <w:kern w:val="26"/>
        </w:rPr>
        <w:t xml:space="preserve">414-ФЗ «Об общих принципах организации публичной власти в субъектах Российской Федерации», в связи с чем </w:t>
      </w:r>
      <w:r>
        <w:rPr>
          <w:kern w:val="26"/>
        </w:rPr>
        <w:br/>
      </w:r>
      <w:r w:rsidRPr="00823F08">
        <w:rPr>
          <w:kern w:val="26"/>
        </w:rPr>
        <w:t>не подлежит оценке регулирующего воздействия.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Принятие проекта потребует внесения изменений в постановление Администрации Ненецкого автономного округа от 25</w:t>
      </w:r>
      <w:r>
        <w:rPr>
          <w:kern w:val="26"/>
        </w:rPr>
        <w:t xml:space="preserve"> августа </w:t>
      </w:r>
      <w:r w:rsidRPr="00823F08">
        <w:rPr>
          <w:kern w:val="26"/>
        </w:rPr>
        <w:t xml:space="preserve">2015 </w:t>
      </w:r>
      <w:r>
        <w:rPr>
          <w:kern w:val="26"/>
        </w:rPr>
        <w:t>года № </w:t>
      </w:r>
      <w:r w:rsidRPr="00823F08">
        <w:rPr>
          <w:kern w:val="26"/>
        </w:rPr>
        <w:t>278</w:t>
      </w:r>
      <w:r>
        <w:rPr>
          <w:kern w:val="26"/>
        </w:rPr>
        <w:t xml:space="preserve">-п «О предоставлении субсидий в </w:t>
      </w:r>
      <w:r w:rsidRPr="00823F08">
        <w:rPr>
          <w:kern w:val="26"/>
        </w:rPr>
        <w:t>целях возмещения недополученных доходов кредитных организаций».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>Принятие проекта не потребует дополните</w:t>
      </w:r>
      <w:r>
        <w:rPr>
          <w:kern w:val="26"/>
        </w:rPr>
        <w:t xml:space="preserve">льных бюджетных ассигнований </w:t>
      </w:r>
      <w:r>
        <w:rPr>
          <w:kern w:val="26"/>
        </w:rPr>
        <w:br/>
        <w:t xml:space="preserve">из </w:t>
      </w:r>
      <w:r w:rsidRPr="00823F08">
        <w:rPr>
          <w:kern w:val="26"/>
        </w:rPr>
        <w:t>средств окружного бюджета.</w:t>
      </w:r>
    </w:p>
    <w:p w:rsidR="006A05E9" w:rsidRPr="00823F08" w:rsidRDefault="006A05E9" w:rsidP="006A05E9">
      <w:pPr>
        <w:pStyle w:val="a8"/>
        <w:ind w:right="110"/>
        <w:rPr>
          <w:kern w:val="26"/>
        </w:rPr>
      </w:pPr>
      <w:r w:rsidRPr="00823F08">
        <w:rPr>
          <w:kern w:val="26"/>
        </w:rPr>
        <w:t xml:space="preserve">Проект рассмотрен на заседании </w:t>
      </w:r>
      <w:r>
        <w:rPr>
          <w:kern w:val="26"/>
        </w:rPr>
        <w:t>О</w:t>
      </w:r>
      <w:r w:rsidRPr="00823F08">
        <w:rPr>
          <w:kern w:val="26"/>
        </w:rPr>
        <w:t xml:space="preserve">бщественного совета при Департаменте финансов и экономики Ненецкого автономного округа 3 июня 2024 года (протокол </w:t>
      </w:r>
      <w:r>
        <w:rPr>
          <w:kern w:val="26"/>
        </w:rPr>
        <w:br/>
      </w:r>
      <w:r w:rsidRPr="00823F08">
        <w:rPr>
          <w:kern w:val="26"/>
        </w:rPr>
        <w:t>от 3 июня 2024 года №</w:t>
      </w:r>
      <w:r>
        <w:rPr>
          <w:kern w:val="26"/>
        </w:rPr>
        <w:t> </w:t>
      </w:r>
      <w:r w:rsidRPr="00823F08">
        <w:rPr>
          <w:kern w:val="26"/>
        </w:rPr>
        <w:t>2 размещен на сайте Департамента финансов и экономики Ненецкого автономного округа в сети «Интернет» dfei.adm-nao.ru). По</w:t>
      </w:r>
      <w:r>
        <w:rPr>
          <w:kern w:val="26"/>
        </w:rPr>
        <w:t xml:space="preserve"> </w:t>
      </w:r>
      <w:r w:rsidRPr="00823F08">
        <w:rPr>
          <w:kern w:val="26"/>
        </w:rPr>
        <w:t>результатам общественного обсуждения принят</w:t>
      </w:r>
      <w:r>
        <w:rPr>
          <w:kern w:val="26"/>
        </w:rPr>
        <w:t>о решение согласовать проект.</w:t>
      </w:r>
    </w:p>
    <w:p w:rsidR="006D45F0" w:rsidRPr="00312E06" w:rsidRDefault="006D45F0" w:rsidP="006D4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45F0" w:rsidRPr="00312E06" w:rsidSect="00346AE9">
      <w:pgSz w:w="1191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459B">
      <w:pPr>
        <w:spacing w:after="0" w:line="240" w:lineRule="auto"/>
      </w:pPr>
      <w:r>
        <w:separator/>
      </w:r>
    </w:p>
  </w:endnote>
  <w:endnote w:type="continuationSeparator" w:id="0">
    <w:p w:rsidR="00000000" w:rsidRDefault="0014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459B">
      <w:pPr>
        <w:spacing w:after="0" w:line="240" w:lineRule="auto"/>
      </w:pPr>
      <w:r>
        <w:separator/>
      </w:r>
    </w:p>
  </w:footnote>
  <w:footnote w:type="continuationSeparator" w:id="0">
    <w:p w:rsidR="00000000" w:rsidRDefault="0014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2344"/>
      <w:docPartObj>
        <w:docPartGallery w:val="Page Numbers (Top of Page)"/>
        <w:docPartUnique/>
      </w:docPartObj>
    </w:sdtPr>
    <w:sdtEndPr/>
    <w:sdtContent>
      <w:p w:rsidR="005C66E6" w:rsidRDefault="006A05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9B">
          <w:rPr>
            <w:noProof/>
          </w:rPr>
          <w:t>3</w:t>
        </w:r>
        <w:r>
          <w:fldChar w:fldCharType="end"/>
        </w:r>
      </w:p>
    </w:sdtContent>
  </w:sdt>
  <w:p w:rsidR="005C66E6" w:rsidRDefault="001445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420AB"/>
    <w:multiLevelType w:val="hybridMultilevel"/>
    <w:tmpl w:val="D23CCC64"/>
    <w:lvl w:ilvl="0" w:tplc="8BBC3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B49EF"/>
    <w:multiLevelType w:val="hybridMultilevel"/>
    <w:tmpl w:val="C832BDC8"/>
    <w:lvl w:ilvl="0" w:tplc="2DDC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03012"/>
    <w:multiLevelType w:val="hybridMultilevel"/>
    <w:tmpl w:val="50E49124"/>
    <w:lvl w:ilvl="0" w:tplc="84F41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8874F2"/>
    <w:multiLevelType w:val="hybridMultilevel"/>
    <w:tmpl w:val="AE22C3DA"/>
    <w:lvl w:ilvl="0" w:tplc="78500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CF7A68"/>
    <w:multiLevelType w:val="hybridMultilevel"/>
    <w:tmpl w:val="FC9A5AF8"/>
    <w:lvl w:ilvl="0" w:tplc="406CC1F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7A2950C6"/>
    <w:multiLevelType w:val="hybridMultilevel"/>
    <w:tmpl w:val="54EA2E38"/>
    <w:lvl w:ilvl="0" w:tplc="2B0CC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F0"/>
    <w:rsid w:val="00001195"/>
    <w:rsid w:val="0001077D"/>
    <w:rsid w:val="00017C6D"/>
    <w:rsid w:val="0002416C"/>
    <w:rsid w:val="000251D6"/>
    <w:rsid w:val="00037996"/>
    <w:rsid w:val="00052188"/>
    <w:rsid w:val="0005354C"/>
    <w:rsid w:val="00060C72"/>
    <w:rsid w:val="000A7E6E"/>
    <w:rsid w:val="001067CE"/>
    <w:rsid w:val="00107C37"/>
    <w:rsid w:val="00121996"/>
    <w:rsid w:val="00124504"/>
    <w:rsid w:val="00126546"/>
    <w:rsid w:val="001319B7"/>
    <w:rsid w:val="00142419"/>
    <w:rsid w:val="0014459B"/>
    <w:rsid w:val="001851C9"/>
    <w:rsid w:val="00190593"/>
    <w:rsid w:val="00193017"/>
    <w:rsid w:val="00195B08"/>
    <w:rsid w:val="001B23C5"/>
    <w:rsid w:val="001C74D2"/>
    <w:rsid w:val="001D2F64"/>
    <w:rsid w:val="001E79BF"/>
    <w:rsid w:val="001F0353"/>
    <w:rsid w:val="00201C71"/>
    <w:rsid w:val="00203CB0"/>
    <w:rsid w:val="002203DC"/>
    <w:rsid w:val="002230A2"/>
    <w:rsid w:val="002428CA"/>
    <w:rsid w:val="00257208"/>
    <w:rsid w:val="00293153"/>
    <w:rsid w:val="002B2F2B"/>
    <w:rsid w:val="002C14CE"/>
    <w:rsid w:val="002C4967"/>
    <w:rsid w:val="002D28AC"/>
    <w:rsid w:val="00312E06"/>
    <w:rsid w:val="0031476D"/>
    <w:rsid w:val="00342ADE"/>
    <w:rsid w:val="003445D6"/>
    <w:rsid w:val="003565DA"/>
    <w:rsid w:val="003766C8"/>
    <w:rsid w:val="00380797"/>
    <w:rsid w:val="003852E2"/>
    <w:rsid w:val="003A1CC3"/>
    <w:rsid w:val="003A4C6F"/>
    <w:rsid w:val="00420113"/>
    <w:rsid w:val="0042726B"/>
    <w:rsid w:val="0043247A"/>
    <w:rsid w:val="00435403"/>
    <w:rsid w:val="00440088"/>
    <w:rsid w:val="00450824"/>
    <w:rsid w:val="00457F61"/>
    <w:rsid w:val="00482754"/>
    <w:rsid w:val="004844CD"/>
    <w:rsid w:val="00490827"/>
    <w:rsid w:val="004934B9"/>
    <w:rsid w:val="00493F19"/>
    <w:rsid w:val="004B0A1F"/>
    <w:rsid w:val="004D2896"/>
    <w:rsid w:val="0052459D"/>
    <w:rsid w:val="00532B1E"/>
    <w:rsid w:val="005A0461"/>
    <w:rsid w:val="005A7568"/>
    <w:rsid w:val="005B2E44"/>
    <w:rsid w:val="005D6774"/>
    <w:rsid w:val="005D6862"/>
    <w:rsid w:val="005E21B6"/>
    <w:rsid w:val="005F0B43"/>
    <w:rsid w:val="006027C4"/>
    <w:rsid w:val="00603EB1"/>
    <w:rsid w:val="00607B84"/>
    <w:rsid w:val="00635A3A"/>
    <w:rsid w:val="00667A80"/>
    <w:rsid w:val="0067557E"/>
    <w:rsid w:val="006951C8"/>
    <w:rsid w:val="006962B2"/>
    <w:rsid w:val="006A05E9"/>
    <w:rsid w:val="006A2003"/>
    <w:rsid w:val="006A5403"/>
    <w:rsid w:val="006C0A54"/>
    <w:rsid w:val="006D058F"/>
    <w:rsid w:val="006D0733"/>
    <w:rsid w:val="006D45F0"/>
    <w:rsid w:val="006D61AC"/>
    <w:rsid w:val="006E51AE"/>
    <w:rsid w:val="006E6353"/>
    <w:rsid w:val="006F5F02"/>
    <w:rsid w:val="0072113C"/>
    <w:rsid w:val="007224EE"/>
    <w:rsid w:val="00734D70"/>
    <w:rsid w:val="00741FC5"/>
    <w:rsid w:val="0074280D"/>
    <w:rsid w:val="00770C31"/>
    <w:rsid w:val="007819AA"/>
    <w:rsid w:val="007819BE"/>
    <w:rsid w:val="007A482B"/>
    <w:rsid w:val="007A56EF"/>
    <w:rsid w:val="007A594A"/>
    <w:rsid w:val="007C23BE"/>
    <w:rsid w:val="007C590F"/>
    <w:rsid w:val="007C5CAA"/>
    <w:rsid w:val="007E6C9F"/>
    <w:rsid w:val="00822217"/>
    <w:rsid w:val="008238DA"/>
    <w:rsid w:val="00835C81"/>
    <w:rsid w:val="008569D4"/>
    <w:rsid w:val="008B6716"/>
    <w:rsid w:val="008D6F3A"/>
    <w:rsid w:val="008F05FB"/>
    <w:rsid w:val="009033DB"/>
    <w:rsid w:val="009054D7"/>
    <w:rsid w:val="00911959"/>
    <w:rsid w:val="009215A1"/>
    <w:rsid w:val="00957527"/>
    <w:rsid w:val="00981E82"/>
    <w:rsid w:val="009873D8"/>
    <w:rsid w:val="0099547A"/>
    <w:rsid w:val="00A25EAF"/>
    <w:rsid w:val="00A55021"/>
    <w:rsid w:val="00A604A1"/>
    <w:rsid w:val="00A63AE0"/>
    <w:rsid w:val="00A81C43"/>
    <w:rsid w:val="00AC3695"/>
    <w:rsid w:val="00B253CE"/>
    <w:rsid w:val="00B353A6"/>
    <w:rsid w:val="00B80E72"/>
    <w:rsid w:val="00B814A2"/>
    <w:rsid w:val="00B87FCA"/>
    <w:rsid w:val="00B9628D"/>
    <w:rsid w:val="00BA361E"/>
    <w:rsid w:val="00BD380C"/>
    <w:rsid w:val="00BE1A28"/>
    <w:rsid w:val="00BF303D"/>
    <w:rsid w:val="00C0109A"/>
    <w:rsid w:val="00C17808"/>
    <w:rsid w:val="00C2720E"/>
    <w:rsid w:val="00C27EEF"/>
    <w:rsid w:val="00C80CBF"/>
    <w:rsid w:val="00C8666E"/>
    <w:rsid w:val="00C922D1"/>
    <w:rsid w:val="00CB2726"/>
    <w:rsid w:val="00CB794F"/>
    <w:rsid w:val="00CC4516"/>
    <w:rsid w:val="00CC64F3"/>
    <w:rsid w:val="00CF26CB"/>
    <w:rsid w:val="00CF3ADC"/>
    <w:rsid w:val="00CF5518"/>
    <w:rsid w:val="00CF60F1"/>
    <w:rsid w:val="00D00541"/>
    <w:rsid w:val="00D143C8"/>
    <w:rsid w:val="00D21721"/>
    <w:rsid w:val="00D2201B"/>
    <w:rsid w:val="00D45A8E"/>
    <w:rsid w:val="00D66D0C"/>
    <w:rsid w:val="00D951F7"/>
    <w:rsid w:val="00DA6686"/>
    <w:rsid w:val="00DC4D6E"/>
    <w:rsid w:val="00DD1405"/>
    <w:rsid w:val="00DE651E"/>
    <w:rsid w:val="00E03CDB"/>
    <w:rsid w:val="00E15F04"/>
    <w:rsid w:val="00E26681"/>
    <w:rsid w:val="00E46267"/>
    <w:rsid w:val="00E54106"/>
    <w:rsid w:val="00E759D4"/>
    <w:rsid w:val="00E82F2F"/>
    <w:rsid w:val="00EF2B3B"/>
    <w:rsid w:val="00EF5E36"/>
    <w:rsid w:val="00EF62D1"/>
    <w:rsid w:val="00F014C7"/>
    <w:rsid w:val="00F14F12"/>
    <w:rsid w:val="00F40545"/>
    <w:rsid w:val="00F449D4"/>
    <w:rsid w:val="00F478B2"/>
    <w:rsid w:val="00FA7013"/>
    <w:rsid w:val="00FB53E0"/>
    <w:rsid w:val="00FC7A07"/>
    <w:rsid w:val="00FE2BED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570CE-F51F-47DB-9488-4042972A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4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6D45F0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6D45F0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D4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6D4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E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2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F2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7819AA"/>
    <w:pPr>
      <w:spacing w:after="0" w:line="240" w:lineRule="auto"/>
    </w:pPr>
  </w:style>
  <w:style w:type="paragraph" w:styleId="a8">
    <w:name w:val="Body Text"/>
    <w:basedOn w:val="a"/>
    <w:link w:val="a9"/>
    <w:uiPriority w:val="1"/>
    <w:qFormat/>
    <w:rsid w:val="006A05E9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6A05E9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6A05E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A05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Анна Юрьевна</dc:creator>
  <cp:lastModifiedBy>Людмила Александровна Карпушева</cp:lastModifiedBy>
  <cp:revision>3</cp:revision>
  <cp:lastPrinted>2024-05-14T13:14:00Z</cp:lastPrinted>
  <dcterms:created xsi:type="dcterms:W3CDTF">2024-09-09T08:34:00Z</dcterms:created>
  <dcterms:modified xsi:type="dcterms:W3CDTF">2024-09-09T08:35:00Z</dcterms:modified>
</cp:coreProperties>
</file>