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C6" w:rsidRDefault="00DB226A">
      <w:pPr>
        <w:tabs>
          <w:tab w:val="left" w:pos="4004"/>
        </w:tabs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Проект № 196-пр</w:t>
      </w:r>
    </w:p>
    <w:p w:rsidR="005648C6" w:rsidRDefault="005648C6">
      <w:pPr>
        <w:tabs>
          <w:tab w:val="left" w:pos="4004"/>
        </w:tabs>
        <w:rPr>
          <w:sz w:val="24"/>
        </w:rPr>
      </w:pPr>
    </w:p>
    <w:p w:rsidR="005648C6" w:rsidRDefault="00DB226A">
      <w:pPr>
        <w:tabs>
          <w:tab w:val="left" w:pos="4004"/>
        </w:tabs>
        <w:jc w:val="center"/>
        <w:rPr>
          <w:b/>
          <w:sz w:val="28"/>
        </w:rPr>
      </w:pPr>
      <w:r>
        <w:rPr>
          <w:b/>
          <w:sz w:val="28"/>
        </w:rPr>
        <w:t>ЗАКОН НЕНЕЦКОГО АВТОНОМНОГО ОКРУГА</w:t>
      </w:r>
    </w:p>
    <w:p w:rsidR="005648C6" w:rsidRDefault="00DB226A">
      <w:pPr>
        <w:tabs>
          <w:tab w:val="left" w:pos="4004"/>
        </w:tabs>
        <w:spacing w:before="600"/>
        <w:ind w:left="142" w:right="142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изменения в статью 6 закона Ненецкого </w:t>
      </w:r>
    </w:p>
    <w:p w:rsidR="005648C6" w:rsidRDefault="00DB226A">
      <w:pPr>
        <w:tabs>
          <w:tab w:val="left" w:pos="4004"/>
        </w:tabs>
        <w:ind w:left="142" w:right="142"/>
        <w:jc w:val="center"/>
        <w:rPr>
          <w:b/>
          <w:sz w:val="28"/>
        </w:rPr>
      </w:pPr>
      <w:r>
        <w:rPr>
          <w:b/>
          <w:sz w:val="28"/>
        </w:rPr>
        <w:t xml:space="preserve">автономного округа «Об управлении государственным </w:t>
      </w:r>
    </w:p>
    <w:p w:rsidR="005648C6" w:rsidRDefault="00DB226A">
      <w:pPr>
        <w:tabs>
          <w:tab w:val="left" w:pos="4004"/>
        </w:tabs>
        <w:ind w:left="142" w:right="142"/>
        <w:jc w:val="center"/>
        <w:rPr>
          <w:sz w:val="24"/>
        </w:rPr>
      </w:pPr>
      <w:r>
        <w:rPr>
          <w:b/>
          <w:sz w:val="28"/>
        </w:rPr>
        <w:t xml:space="preserve">имуществом Ненецкого автономного округа» </w:t>
      </w:r>
    </w:p>
    <w:p w:rsidR="005648C6" w:rsidRDefault="00DB226A">
      <w:pPr>
        <w:tabs>
          <w:tab w:val="left" w:pos="4004"/>
        </w:tabs>
        <w:spacing w:before="600"/>
        <w:ind w:right="-2"/>
        <w:rPr>
          <w:b/>
          <w:sz w:val="24"/>
        </w:rPr>
      </w:pPr>
      <w:r>
        <w:rPr>
          <w:sz w:val="24"/>
        </w:rPr>
        <w:t xml:space="preserve">Для принятия в первом чтении                      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___»_________2026 года</w:t>
      </w:r>
    </w:p>
    <w:p w:rsidR="005648C6" w:rsidRDefault="00DB226A">
      <w:pPr>
        <w:tabs>
          <w:tab w:val="left" w:pos="4004"/>
        </w:tabs>
        <w:spacing w:before="440"/>
        <w:ind w:firstLine="709"/>
        <w:jc w:val="both"/>
      </w:pPr>
      <w:r>
        <w:rPr>
          <w:b/>
          <w:sz w:val="24"/>
        </w:rPr>
        <w:t>Статья 1</w:t>
      </w:r>
    </w:p>
    <w:p w:rsidR="005648C6" w:rsidRDefault="00DB226A">
      <w:pPr>
        <w:pStyle w:val="17"/>
        <w:tabs>
          <w:tab w:val="left" w:pos="993"/>
        </w:tabs>
        <w:spacing w:before="240"/>
        <w:ind w:firstLine="709"/>
        <w:jc w:val="both"/>
      </w:pPr>
      <w:r>
        <w:t>Внести в статью 6 закона Ненецкого автономного округа от 04 июля 2016 года № 228-оз «Об управлении государственным имуществом Ненецкого автономного округа» (в редакции закона округа от 30.06.2025 №</w:t>
      </w:r>
      <w:r>
        <w:rPr>
          <w:rFonts w:ascii="XO Thames" w:hAnsi="XO Thames"/>
        </w:rPr>
        <w:t> </w:t>
      </w:r>
      <w:r>
        <w:t>120-оз) изменение, дополнив пунктом 4 следующего содержания:</w:t>
      </w:r>
    </w:p>
    <w:p w:rsidR="005648C6" w:rsidRDefault="00DB226A">
      <w:pPr>
        <w:pStyle w:val="17"/>
        <w:tabs>
          <w:tab w:val="left" w:pos="993"/>
        </w:tabs>
        <w:spacing w:before="240"/>
        <w:ind w:firstLine="709"/>
        <w:jc w:val="both"/>
        <w:rPr>
          <w:b/>
        </w:rPr>
      </w:pPr>
      <w:r>
        <w:t xml:space="preserve">«4) жилых помещений, передаваемых в собственность граждан за выдающиеся достижения и особые заслуги перед Российской Федерацией в области физической культуры и спорта, завоевавших звания чемпионов или призеров Олимпийских игр, </w:t>
      </w:r>
      <w:proofErr w:type="spellStart"/>
      <w:r>
        <w:t>Паралимпийских</w:t>
      </w:r>
      <w:proofErr w:type="spellEnd"/>
      <w:r>
        <w:t xml:space="preserve"> игр, </w:t>
      </w:r>
      <w:proofErr w:type="spellStart"/>
      <w:r>
        <w:t>Сурдлимпийских</w:t>
      </w:r>
      <w:proofErr w:type="spellEnd"/>
      <w:r>
        <w:t xml:space="preserve"> игр, чемпионов мира, чемпионов Европы.».</w:t>
      </w:r>
    </w:p>
    <w:p w:rsidR="005648C6" w:rsidRDefault="00DB226A">
      <w:pPr>
        <w:tabs>
          <w:tab w:val="left" w:pos="4004"/>
        </w:tabs>
        <w:spacing w:before="240"/>
        <w:ind w:firstLine="709"/>
        <w:jc w:val="both"/>
        <w:outlineLvl w:val="0"/>
        <w:rPr>
          <w:sz w:val="24"/>
        </w:rPr>
      </w:pPr>
      <w:r>
        <w:rPr>
          <w:b/>
          <w:sz w:val="24"/>
        </w:rPr>
        <w:t>Статья 2</w:t>
      </w:r>
    </w:p>
    <w:p w:rsidR="005648C6" w:rsidRDefault="00DB226A">
      <w:pPr>
        <w:tabs>
          <w:tab w:val="left" w:pos="4004"/>
        </w:tabs>
        <w:spacing w:before="240"/>
        <w:ind w:firstLine="709"/>
        <w:jc w:val="both"/>
        <w:outlineLvl w:val="0"/>
        <w:rPr>
          <w:b/>
          <w:sz w:val="24"/>
        </w:rPr>
      </w:pPr>
      <w:r>
        <w:rPr>
          <w:sz w:val="24"/>
        </w:rPr>
        <w:t>Настоящий закон вступает в силу со дня его официального опубликования.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611"/>
        <w:gridCol w:w="4675"/>
      </w:tblGrid>
      <w:tr w:rsidR="005648C6">
        <w:trPr>
          <w:trHeight w:val="2817"/>
        </w:trPr>
        <w:tc>
          <w:tcPr>
            <w:tcW w:w="4611" w:type="dxa"/>
            <w:shd w:val="clear" w:color="auto" w:fill="auto"/>
          </w:tcPr>
          <w:p w:rsidR="005648C6" w:rsidRDefault="00DB226A">
            <w:pPr>
              <w:tabs>
                <w:tab w:val="left" w:pos="4004"/>
              </w:tabs>
              <w:spacing w:before="1000"/>
              <w:rPr>
                <w:b/>
                <w:sz w:val="24"/>
              </w:rPr>
            </w:pPr>
            <w:r>
              <w:rPr>
                <w:b/>
                <w:sz w:val="24"/>
              </w:rPr>
              <w:t>Председатель Собрания депутатов Ненецкого автономного округа</w:t>
            </w:r>
          </w:p>
          <w:p w:rsidR="005648C6" w:rsidRDefault="00DB226A">
            <w:pPr>
              <w:tabs>
                <w:tab w:val="left" w:pos="4004"/>
              </w:tabs>
              <w:spacing w:before="1000"/>
              <w:jc w:val="right"/>
            </w:pPr>
            <w:r>
              <w:rPr>
                <w:b/>
                <w:sz w:val="24"/>
              </w:rPr>
              <w:t>А.П. Чурсанов</w:t>
            </w:r>
          </w:p>
        </w:tc>
        <w:tc>
          <w:tcPr>
            <w:tcW w:w="4674" w:type="dxa"/>
            <w:shd w:val="clear" w:color="auto" w:fill="auto"/>
          </w:tcPr>
          <w:p w:rsidR="005648C6" w:rsidRDefault="00DB226A">
            <w:pPr>
              <w:tabs>
                <w:tab w:val="left" w:pos="4004"/>
              </w:tabs>
              <w:spacing w:before="1000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Губернатор</w:t>
            </w:r>
            <w:r>
              <w:rPr>
                <w:b/>
                <w:sz w:val="24"/>
              </w:rPr>
              <w:br/>
              <w:t>Ненецкого автономного округа</w:t>
            </w:r>
          </w:p>
          <w:p w:rsidR="005648C6" w:rsidRDefault="00DB226A">
            <w:pPr>
              <w:tabs>
                <w:tab w:val="left" w:pos="4004"/>
              </w:tabs>
              <w:spacing w:before="1000"/>
              <w:jc w:val="right"/>
            </w:pPr>
            <w:r>
              <w:rPr>
                <w:b/>
                <w:sz w:val="24"/>
              </w:rPr>
              <w:t xml:space="preserve">И.А. </w:t>
            </w:r>
            <w:proofErr w:type="spellStart"/>
            <w:r>
              <w:rPr>
                <w:b/>
                <w:sz w:val="24"/>
              </w:rPr>
              <w:t>Гехт</w:t>
            </w:r>
            <w:proofErr w:type="spellEnd"/>
          </w:p>
        </w:tc>
      </w:tr>
    </w:tbl>
    <w:p w:rsidR="005648C6" w:rsidRDefault="00DB226A">
      <w:pPr>
        <w:tabs>
          <w:tab w:val="left" w:pos="4004"/>
        </w:tabs>
        <w:spacing w:before="1000"/>
        <w:jc w:val="both"/>
        <w:rPr>
          <w:sz w:val="24"/>
        </w:rPr>
      </w:pPr>
      <w:r>
        <w:rPr>
          <w:sz w:val="24"/>
        </w:rPr>
        <w:t>г. Нарьян-Мар</w:t>
      </w:r>
    </w:p>
    <w:p w:rsidR="005648C6" w:rsidRDefault="00DB226A">
      <w:pPr>
        <w:tabs>
          <w:tab w:val="left" w:pos="4004"/>
        </w:tabs>
        <w:jc w:val="both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_________2026 г.</w:t>
      </w:r>
    </w:p>
    <w:p w:rsidR="00DB226A" w:rsidRDefault="00DB226A">
      <w:pPr>
        <w:tabs>
          <w:tab w:val="left" w:pos="4004"/>
        </w:tabs>
        <w:jc w:val="both"/>
        <w:rPr>
          <w:sz w:val="24"/>
        </w:rPr>
      </w:pPr>
      <w:r>
        <w:rPr>
          <w:sz w:val="24"/>
        </w:rPr>
        <w:t>№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>_______-</w:t>
      </w:r>
      <w:proofErr w:type="spellStart"/>
      <w:r>
        <w:rPr>
          <w:sz w:val="24"/>
        </w:rPr>
        <w:t>оз</w:t>
      </w:r>
      <w:proofErr w:type="spellEnd"/>
    </w:p>
    <w:p w:rsidR="00DB226A" w:rsidRDefault="00DB226A">
      <w:pPr>
        <w:tabs>
          <w:tab w:val="left" w:pos="4004"/>
        </w:tabs>
        <w:jc w:val="both"/>
        <w:rPr>
          <w:sz w:val="24"/>
        </w:rPr>
        <w:sectPr w:rsidR="00DB226A">
          <w:pgSz w:w="11906" w:h="16838"/>
          <w:pgMar w:top="992" w:right="1418" w:bottom="709" w:left="1418" w:header="0" w:footer="0" w:gutter="0"/>
          <w:cols w:space="720"/>
          <w:formProt w:val="0"/>
          <w:docGrid w:linePitch="100"/>
        </w:sectPr>
      </w:pPr>
    </w:p>
    <w:p w:rsidR="00DB226A" w:rsidRPr="00DB226A" w:rsidRDefault="00DB226A" w:rsidP="00DB226A">
      <w:pPr>
        <w:ind w:right="-1"/>
        <w:jc w:val="center"/>
        <w:outlineLvl w:val="0"/>
        <w:rPr>
          <w:rFonts w:cs="Times New Roman"/>
          <w:b/>
          <w:kern w:val="26"/>
          <w:sz w:val="26"/>
        </w:rPr>
      </w:pPr>
      <w:r w:rsidRPr="00DB226A">
        <w:rPr>
          <w:rFonts w:cs="Times New Roman"/>
          <w:b/>
          <w:kern w:val="26"/>
          <w:sz w:val="26"/>
        </w:rPr>
        <w:lastRenderedPageBreak/>
        <w:t>ПОЯСНИТЕЛЬНАЯ ЗАПИСКА</w:t>
      </w:r>
    </w:p>
    <w:p w:rsidR="00DB226A" w:rsidRPr="00DB226A" w:rsidRDefault="00DB226A" w:rsidP="00DB226A">
      <w:pPr>
        <w:ind w:right="-1"/>
        <w:jc w:val="center"/>
        <w:outlineLvl w:val="0"/>
        <w:rPr>
          <w:rFonts w:cs="Times New Roman"/>
          <w:b/>
          <w:kern w:val="26"/>
          <w:sz w:val="26"/>
        </w:rPr>
      </w:pPr>
      <w:r w:rsidRPr="00DB226A">
        <w:rPr>
          <w:rFonts w:cs="Times New Roman"/>
          <w:b/>
          <w:kern w:val="26"/>
          <w:sz w:val="26"/>
        </w:rPr>
        <w:t xml:space="preserve">к проекту закона Ненецкого автономного округа </w:t>
      </w:r>
    </w:p>
    <w:p w:rsidR="00DB226A" w:rsidRPr="00DB226A" w:rsidRDefault="00DB226A" w:rsidP="00DB226A">
      <w:pPr>
        <w:ind w:right="-1"/>
        <w:jc w:val="center"/>
        <w:outlineLvl w:val="0"/>
        <w:rPr>
          <w:rFonts w:cs="Times New Roman"/>
          <w:b/>
          <w:kern w:val="26"/>
          <w:sz w:val="26"/>
        </w:rPr>
      </w:pPr>
      <w:r w:rsidRPr="00DB226A">
        <w:rPr>
          <w:rFonts w:cs="Times New Roman"/>
          <w:b/>
          <w:kern w:val="26"/>
          <w:sz w:val="26"/>
        </w:rPr>
        <w:t xml:space="preserve">«О внесении изменения в статью 6 закона Ненецкого автономного округа </w:t>
      </w:r>
      <w:r w:rsidRPr="00DB226A">
        <w:rPr>
          <w:rFonts w:cs="Times New Roman"/>
          <w:b/>
          <w:kern w:val="26"/>
          <w:sz w:val="26"/>
        </w:rPr>
        <w:br/>
        <w:t>«Об управлении государственным имуществом Ненецкого автономного округа»</w:t>
      </w:r>
    </w:p>
    <w:p w:rsidR="00DB226A" w:rsidRPr="00DB226A" w:rsidRDefault="00DB226A" w:rsidP="00DB226A">
      <w:pPr>
        <w:ind w:right="-1"/>
        <w:jc w:val="center"/>
        <w:rPr>
          <w:rFonts w:cs="Times New Roman"/>
          <w:b/>
          <w:kern w:val="26"/>
          <w:sz w:val="26"/>
        </w:rPr>
      </w:pPr>
    </w:p>
    <w:p w:rsidR="00DB226A" w:rsidRPr="00DB226A" w:rsidRDefault="00DB226A" w:rsidP="00DB226A">
      <w:pPr>
        <w:ind w:firstLine="70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>Субъект законодательной инициативы – губернатор Ненецкого автономного округа.</w:t>
      </w:r>
    </w:p>
    <w:p w:rsidR="00DB226A" w:rsidRPr="00DB226A" w:rsidRDefault="00DB226A" w:rsidP="00DB226A">
      <w:pPr>
        <w:widowControl w:val="0"/>
        <w:ind w:firstLine="70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Разработчик проекта – Департамент имущественных, земельных отношений </w:t>
      </w:r>
      <w:r w:rsidRPr="00DB226A">
        <w:rPr>
          <w:rFonts w:cs="Times New Roman"/>
          <w:kern w:val="26"/>
          <w:sz w:val="26"/>
        </w:rPr>
        <w:br/>
        <w:t>и градостроительства Ненецкого автономного округа .</w:t>
      </w:r>
    </w:p>
    <w:p w:rsidR="00DB226A" w:rsidRPr="00DB226A" w:rsidRDefault="00DB226A" w:rsidP="00DB226A">
      <w:pPr>
        <w:widowControl w:val="0"/>
        <w:ind w:firstLine="70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>Разработка представленного законопроекта обусловлена следующим.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В соответствии с пунктом 2 части 1, частью 3 статьи 8 Федерального закона </w:t>
      </w:r>
      <w:r w:rsidRPr="00DB226A">
        <w:rPr>
          <w:rFonts w:cs="Times New Roman"/>
          <w:kern w:val="26"/>
          <w:sz w:val="26"/>
        </w:rPr>
        <w:br/>
        <w:t xml:space="preserve">от 04.12.2007 № 329-ФЗ «О физической культуре и спорте в Российской Федерации» (далее – Федеральный закон № 329-ФЗ) к полномочиям субъектов Российской Федерации в области физической культуры и спорта относится учреждение почётных званий, наград, премий и иных форм поощрения в области физической культуры и спорта субъектов Российской Федерации, а также установление дополнительного материального обеспечения лицам, имеющим выдающиеся достижения и особые заслуги перед Российской Федерацией в области физической культуры и спорта, в том числе завоевавшим звания чемпионов или призеров Олимпийских игр, </w:t>
      </w:r>
      <w:proofErr w:type="spellStart"/>
      <w:r w:rsidRPr="00DB226A">
        <w:rPr>
          <w:rFonts w:cs="Times New Roman"/>
          <w:kern w:val="26"/>
          <w:sz w:val="26"/>
        </w:rPr>
        <w:t>Паралимпийских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</w:t>
      </w:r>
      <w:proofErr w:type="spellStart"/>
      <w:r w:rsidRPr="00DB226A">
        <w:rPr>
          <w:rFonts w:cs="Times New Roman"/>
          <w:kern w:val="26"/>
          <w:sz w:val="26"/>
        </w:rPr>
        <w:t>Сурдлимпийских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чемпионов мира, чемпионов Европы, имеющим почетные спортивные звания,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В Ненецком автономном округе полномочия в области физической культуры </w:t>
      </w:r>
      <w:r w:rsidRPr="00DB226A">
        <w:rPr>
          <w:rFonts w:cs="Times New Roman"/>
          <w:kern w:val="26"/>
          <w:sz w:val="26"/>
        </w:rPr>
        <w:br/>
        <w:t xml:space="preserve">и спорта разграничены между органами государственной власти законом Ненецкого автономного округа от 08.12.2014 № 21-оз «О физической культуре и спорте в Ненецком автономном округе» (далее – Закон № 21-оз). 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>Согласно статье 3 Закона № 21-оз к полномочиям Собрания депутатов Ненецкого автономного округа отнесено учреждение почётных званий, наград в сфере физической культуры и спорта.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Учреждение премий и иных форм поощрения в сфере физической культуры </w:t>
      </w:r>
      <w:r w:rsidRPr="00DB226A">
        <w:rPr>
          <w:rFonts w:cs="Times New Roman"/>
          <w:kern w:val="26"/>
          <w:sz w:val="26"/>
        </w:rPr>
        <w:br/>
        <w:t xml:space="preserve">и спорта, а также установление указанного в части 3 статьи 8 Федерального закона </w:t>
      </w:r>
      <w:r w:rsidRPr="00DB226A">
        <w:rPr>
          <w:rFonts w:cs="Times New Roman"/>
          <w:kern w:val="26"/>
          <w:sz w:val="26"/>
        </w:rPr>
        <w:br/>
        <w:t>№ 329-ФЗ дополнительного материального обеспечения отнесено к компетенции Администрации Ненецкого автономного округа (статья 4 Закона № 21-оз).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>Статья 1055 Гражданского кодекса Российской Федерации предоставляет право устанавливать денежные вознаграждения или иные награды любому, кто совершит соответствующие действия.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В статье 124 Гражданского кодекса Российской Федерации установлено, </w:t>
      </w:r>
      <w:r w:rsidRPr="00DB226A">
        <w:rPr>
          <w:rFonts w:cs="Times New Roman"/>
          <w:kern w:val="26"/>
          <w:sz w:val="26"/>
        </w:rPr>
        <w:br/>
        <w:t xml:space="preserve">что субъекты Российской Федерации выступают в отношениях, регулируемых гражданским законодательством, на равных началах с иными участниками этих отношений – гражданами и юридическими лицами. От имени субъектов Российской Федерации согласно статье 125 Гражданского кодекса Российской Федерации могут своими действиями приобретать и осуществлять имущественные и </w:t>
      </w:r>
      <w:proofErr w:type="gramStart"/>
      <w:r w:rsidRPr="00DB226A">
        <w:rPr>
          <w:rFonts w:cs="Times New Roman"/>
          <w:kern w:val="26"/>
          <w:sz w:val="26"/>
        </w:rPr>
        <w:t>личные неимущественные права</w:t>
      </w:r>
      <w:proofErr w:type="gramEnd"/>
      <w:r w:rsidRPr="00DB226A">
        <w:rPr>
          <w:rFonts w:cs="Times New Roman"/>
          <w:kern w:val="26"/>
          <w:sz w:val="26"/>
        </w:rPr>
        <w:t xml:space="preserve"> и обязанности органы государственной власти в рамках их компетенции, установленной актами, определяющими статус этих органов.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В соответствии со статьёй 56 Федерального закона от 21.12.2021 № 414-ФЗ </w:t>
      </w:r>
      <w:r w:rsidRPr="00DB226A">
        <w:rPr>
          <w:rFonts w:cs="Times New Roman"/>
          <w:kern w:val="26"/>
          <w:sz w:val="26"/>
        </w:rPr>
        <w:br/>
        <w:t xml:space="preserve">«Об общих принципах организации публичной власти в субъектах Российской Федерации» органы государственной власти субъекта Российской Федерации самостоятельно управляют и распоряжаются имуществом, находящимся в собственности субъекта Российской Федерации, в соответствии с Конституцией Российской Федерации, Гражданским кодексом Российской Федерации, другими федеральными законами </w:t>
      </w:r>
      <w:r w:rsidRPr="00DB226A">
        <w:rPr>
          <w:rFonts w:cs="Times New Roman"/>
          <w:kern w:val="26"/>
          <w:sz w:val="26"/>
        </w:rPr>
        <w:br/>
        <w:t xml:space="preserve">и издаваемыми в соответствии с ними нормативными правовыми Президента Российской Федерации и Правительства Российской Федерации, а также в соответствии </w:t>
      </w:r>
      <w:r w:rsidRPr="00DB226A">
        <w:rPr>
          <w:rFonts w:cs="Times New Roman"/>
          <w:kern w:val="26"/>
          <w:sz w:val="26"/>
        </w:rPr>
        <w:br/>
        <w:t xml:space="preserve">с конституцией (уставом), законами и иными нормативными правовыми актами субъекта Российской Федерации. Органы государственной власти субъекта Российской Федерации вправе передавать имущество субъекта Российской Федерации во временное владение </w:t>
      </w:r>
      <w:r w:rsidRPr="00DB226A">
        <w:rPr>
          <w:rFonts w:cs="Times New Roman"/>
          <w:kern w:val="26"/>
          <w:sz w:val="26"/>
        </w:rPr>
        <w:br/>
        <w:t xml:space="preserve">и (или) пользование физическим и юридическим лицам, федеральным органам государственной власти и органам местного самоуправления, отчуждать это имущество, </w:t>
      </w:r>
      <w:r w:rsidRPr="00DB226A">
        <w:rPr>
          <w:rFonts w:cs="Times New Roman"/>
          <w:kern w:val="26"/>
          <w:sz w:val="26"/>
        </w:rPr>
        <w:br/>
        <w:t xml:space="preserve">в том числе в муниципальную собственность, совершать иные сделки в соответствии </w:t>
      </w:r>
      <w:r w:rsidRPr="00DB226A">
        <w:rPr>
          <w:rFonts w:cs="Times New Roman"/>
          <w:kern w:val="26"/>
          <w:sz w:val="26"/>
        </w:rPr>
        <w:br/>
        <w:t>с федеральными законами, а также принятыми в соответствии с ними законами субъекта Российской Федерации.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В статье 30 Жилищного кодекса Российской Федерации установлено, </w:t>
      </w:r>
      <w:r w:rsidRPr="00DB226A">
        <w:rPr>
          <w:rFonts w:cs="Times New Roman"/>
          <w:kern w:val="26"/>
          <w:sz w:val="26"/>
        </w:rPr>
        <w:br/>
        <w:t xml:space="preserve">что собственник жилого помещения осуществляет право владения, пользования </w:t>
      </w:r>
      <w:r w:rsidRPr="00DB226A">
        <w:rPr>
          <w:rFonts w:cs="Times New Roman"/>
          <w:kern w:val="26"/>
          <w:sz w:val="26"/>
        </w:rPr>
        <w:br/>
        <w:t xml:space="preserve">и распоряжения принадлежащим ему на праве собственности жилым помещением </w:t>
      </w:r>
      <w:r w:rsidRPr="00DB226A">
        <w:rPr>
          <w:rFonts w:cs="Times New Roman"/>
          <w:kern w:val="26"/>
          <w:sz w:val="26"/>
        </w:rPr>
        <w:br/>
        <w:t>в соответствии с его назначением и пределами его использования, которые установлены Жилищным кодексом Российской Федерации.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Учитывая изложенное, возможно установить награду в виде безвозмездной передачи жилых помещений, находящихся в государственной собственности, </w:t>
      </w:r>
      <w:r w:rsidRPr="00DB226A">
        <w:rPr>
          <w:rFonts w:cs="Times New Roman"/>
          <w:kern w:val="26"/>
          <w:sz w:val="26"/>
        </w:rPr>
        <w:br/>
        <w:t xml:space="preserve">в собственность граждан за выдающиеся спортивные достижения и особые заслуги </w:t>
      </w:r>
      <w:r w:rsidRPr="00DB226A">
        <w:rPr>
          <w:rFonts w:cs="Times New Roman"/>
          <w:kern w:val="26"/>
          <w:sz w:val="26"/>
        </w:rPr>
        <w:br/>
        <w:t xml:space="preserve">в области физической культуры и спорта. 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Для установления предусмотренного пунктом 3 части 2 статьи 4 Закона № 21-оз дополнительного материального обеспечения лицам, имеющим выдающиеся достижения и особые заслуги перед Российской Федерацией в области физической культуры и спорта, в том числе завоевавшим звания чемпионов или призеров Олимпийских игр, </w:t>
      </w:r>
      <w:proofErr w:type="spellStart"/>
      <w:r w:rsidRPr="00DB226A">
        <w:rPr>
          <w:rFonts w:cs="Times New Roman"/>
          <w:kern w:val="26"/>
          <w:sz w:val="26"/>
        </w:rPr>
        <w:t>Паралимпийских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</w:t>
      </w:r>
      <w:proofErr w:type="spellStart"/>
      <w:r w:rsidRPr="00DB226A">
        <w:rPr>
          <w:rFonts w:cs="Times New Roman"/>
          <w:kern w:val="26"/>
          <w:sz w:val="26"/>
        </w:rPr>
        <w:t>Сурдлимпийских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чемпионов мира, чемпионов Европы, в виде безвозмездного предоставления в собственность жилого помещения, находящегося </w:t>
      </w:r>
      <w:r w:rsidRPr="00DB226A">
        <w:rPr>
          <w:rFonts w:cs="Times New Roman"/>
          <w:kern w:val="26"/>
          <w:sz w:val="26"/>
        </w:rPr>
        <w:br/>
        <w:t>в государственной собственности Ненецкого автономного округа, необходимо подготовить решение Администрации Ненецкого автономного округа.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Статья 6 закона Ненецкого автономного округа от 04.07.2016 № 228-оз </w:t>
      </w:r>
      <w:r w:rsidRPr="00DB226A">
        <w:rPr>
          <w:rFonts w:cs="Times New Roman"/>
          <w:kern w:val="26"/>
          <w:sz w:val="26"/>
        </w:rPr>
        <w:br/>
        <w:t xml:space="preserve">«Об управлении государственным имуществом Ненецкого автономного округа» (далее — Закон № 228-оз) устанавливает перечень государственного имущества Ненецкого автономного округа, безвозмездная передача которого осуществляется на основании решения Администрации Ненецкого автономного округа. </w:t>
      </w:r>
    </w:p>
    <w:p w:rsidR="00DB226A" w:rsidRPr="00DB226A" w:rsidRDefault="00DB226A" w:rsidP="00DB226A">
      <w:pPr>
        <w:ind w:left="14" w:right="52" w:firstLine="729"/>
        <w:jc w:val="both"/>
        <w:rPr>
          <w:rFonts w:cs="Times New Roman"/>
          <w:kern w:val="26"/>
          <w:sz w:val="26"/>
        </w:rPr>
      </w:pPr>
      <w:r w:rsidRPr="00DB226A">
        <w:rPr>
          <w:rFonts w:cs="Times New Roman"/>
          <w:kern w:val="26"/>
          <w:sz w:val="26"/>
        </w:rPr>
        <w:t xml:space="preserve">С учетом вышеизложенного, а также обращения Департамента образования </w:t>
      </w:r>
      <w:r w:rsidRPr="00DB226A">
        <w:rPr>
          <w:rFonts w:cs="Times New Roman"/>
          <w:kern w:val="26"/>
          <w:sz w:val="26"/>
        </w:rPr>
        <w:br/>
        <w:t xml:space="preserve">и спорта Ненецкого автономного округа от 23.04.2026 № 01-12/3178 проектом закона Ненецкого автономного округа «О внесении изменения в статью 6 закона Ненецкого автономного округа «Об управлении государственным имуществом Ненецкого автономного округа» (далее – проект закона) предлагается внести в статью 6 Закона № 228-оз изменение, предусматривающее возможность безвозмездной передачи находящихся в окружной собственности жилых помещений в собственность граждан </w:t>
      </w:r>
      <w:r w:rsidRPr="00DB226A">
        <w:rPr>
          <w:rFonts w:cs="Times New Roman"/>
          <w:kern w:val="26"/>
          <w:sz w:val="26"/>
        </w:rPr>
        <w:br/>
        <w:t xml:space="preserve">за выдающиеся достижения и особые заслуги перед Российской Федерацией в области физической культуры и спорта, завоевавших звания чемпионов или призеров Олимпийских игр, </w:t>
      </w:r>
      <w:proofErr w:type="spellStart"/>
      <w:r w:rsidRPr="00DB226A">
        <w:rPr>
          <w:rFonts w:cs="Times New Roman"/>
          <w:kern w:val="26"/>
          <w:sz w:val="26"/>
        </w:rPr>
        <w:t>Паралимпийских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</w:t>
      </w:r>
      <w:proofErr w:type="spellStart"/>
      <w:r w:rsidRPr="00DB226A">
        <w:rPr>
          <w:rFonts w:cs="Times New Roman"/>
          <w:kern w:val="26"/>
          <w:sz w:val="26"/>
        </w:rPr>
        <w:t>Сурдлимпийских</w:t>
      </w:r>
      <w:proofErr w:type="spellEnd"/>
      <w:r w:rsidRPr="00DB226A">
        <w:rPr>
          <w:rFonts w:cs="Times New Roman"/>
          <w:kern w:val="26"/>
          <w:sz w:val="26"/>
        </w:rPr>
        <w:t xml:space="preserve"> игр, чемпионов мира, чемпионов Европы.</w:t>
      </w:r>
    </w:p>
    <w:p w:rsidR="00DB226A" w:rsidRDefault="00DB226A">
      <w:pPr>
        <w:tabs>
          <w:tab w:val="left" w:pos="4004"/>
        </w:tabs>
        <w:jc w:val="both"/>
        <w:rPr>
          <w:sz w:val="24"/>
        </w:rPr>
        <w:sectPr w:rsidR="00DB226A" w:rsidSect="005E3C0A">
          <w:headerReference w:type="default" r:id="rId7"/>
          <w:pgSz w:w="11906" w:h="16838"/>
          <w:pgMar w:top="1134" w:right="567" w:bottom="1134" w:left="1134" w:header="425" w:footer="0" w:gutter="0"/>
          <w:cols w:space="720"/>
          <w:formProt w:val="0"/>
          <w:titlePg/>
          <w:docGrid w:linePitch="100"/>
        </w:sectPr>
      </w:pPr>
    </w:p>
    <w:p w:rsidR="005648C6" w:rsidRDefault="00DB226A">
      <w:pPr>
        <w:tabs>
          <w:tab w:val="left" w:pos="4004"/>
        </w:tabs>
        <w:jc w:val="both"/>
        <w:rPr>
          <w:sz w:val="24"/>
        </w:rPr>
      </w:pPr>
      <w:r>
        <w:rPr>
          <w:noProof/>
          <w:lang w:eastAsia="ru-RU" w:bidi="ar-SA"/>
        </w:rPr>
        <w:drawing>
          <wp:inline distT="0" distB="0" distL="0" distR="0" wp14:anchorId="515528CC" wp14:editId="3FF9D5D6">
            <wp:extent cx="6480175" cy="9157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8C6" w:rsidSect="005E3C0A">
      <w:pgSz w:w="11906" w:h="16838"/>
      <w:pgMar w:top="1134" w:right="567" w:bottom="1134" w:left="1134" w:header="425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7D86">
      <w:r>
        <w:separator/>
      </w:r>
    </w:p>
  </w:endnote>
  <w:endnote w:type="continuationSeparator" w:id="0">
    <w:p w:rsidR="00000000" w:rsidRDefault="008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7D86">
      <w:r>
        <w:separator/>
      </w:r>
    </w:p>
  </w:footnote>
  <w:footnote w:type="continuationSeparator" w:id="0">
    <w:p w:rsidR="00000000" w:rsidRDefault="0081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15" w:rsidRDefault="00DB226A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17D8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40E"/>
    <w:multiLevelType w:val="multilevel"/>
    <w:tmpl w:val="820803F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C6"/>
    <w:rsid w:val="005648C6"/>
    <w:rsid w:val="00817D86"/>
    <w:rsid w:val="00D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82ED8-F6AC-41AA-967C-D9223A9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right="-766"/>
      <w:jc w:val="center"/>
      <w:outlineLvl w:val="0"/>
    </w:pPr>
    <w:rPr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Pr>
      <w:rFonts w:ascii="Arial" w:hAnsi="Arial"/>
      <w:color w:val="000000"/>
      <w:sz w:val="32"/>
    </w:rPr>
  </w:style>
  <w:style w:type="character" w:customStyle="1" w:styleId="21">
    <w:name w:val="Основной текст с отступом 21"/>
    <w:link w:val="210"/>
    <w:qFormat/>
    <w:rPr>
      <w:sz w:val="28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color w:val="000000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a3">
    <w:name w:val="Знак Знак Знак"/>
    <w:link w:val="10"/>
    <w:qFormat/>
    <w:rPr>
      <w:rFonts w:ascii="Tahoma" w:hAnsi="Tahoma"/>
    </w:rPr>
  </w:style>
  <w:style w:type="character" w:customStyle="1" w:styleId="11">
    <w:name w:val="Текст выноски1"/>
    <w:link w:val="12"/>
    <w:qFormat/>
    <w:rPr>
      <w:rFonts w:ascii="Tahoma" w:hAnsi="Tahoma"/>
      <w:sz w:val="16"/>
    </w:rPr>
  </w:style>
  <w:style w:type="character" w:customStyle="1" w:styleId="31">
    <w:name w:val="Основной текст с отступом 31"/>
    <w:link w:val="310"/>
    <w:qFormat/>
    <w:rPr>
      <w:sz w:val="2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3">
    <w:name w:val="Указатель1"/>
    <w:link w:val="110"/>
    <w:qFormat/>
    <w:rPr>
      <w:rFonts w:ascii="PT Astra Serif" w:hAnsi="PT Astra Serif"/>
    </w:rPr>
  </w:style>
  <w:style w:type="character" w:customStyle="1" w:styleId="Textbodyindent">
    <w:name w:val="Text body indent"/>
    <w:qFormat/>
    <w:rPr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rFonts w:ascii="PT Astra Serif" w:hAnsi="PT Astra Serif"/>
      <w:i/>
      <w:sz w:val="24"/>
    </w:rPr>
  </w:style>
  <w:style w:type="character" w:customStyle="1" w:styleId="a4">
    <w:name w:val="Содержимое таблицы"/>
    <w:link w:val="14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Textbody">
    <w:name w:val="Text body"/>
    <w:qFormat/>
  </w:style>
  <w:style w:type="character" w:customStyle="1" w:styleId="ConsTitle">
    <w:name w:val="ConsTitle"/>
    <w:link w:val="ConsTitle1"/>
    <w:qFormat/>
    <w:rPr>
      <w:rFonts w:ascii="Arial" w:hAnsi="Arial"/>
      <w:b/>
      <w:color w:val="000000"/>
      <w:sz w:val="22"/>
    </w:rPr>
  </w:style>
  <w:style w:type="character" w:customStyle="1" w:styleId="Heading11">
    <w:name w:val="Heading 11"/>
    <w:qFormat/>
    <w:rPr>
      <w:sz w:val="28"/>
    </w:rPr>
  </w:style>
  <w:style w:type="character" w:styleId="a5">
    <w:name w:val="Hyperlink"/>
    <w:rPr>
      <w:color w:val="0563C1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</w:style>
  <w:style w:type="character" w:customStyle="1" w:styleId="Header1">
    <w:name w:val="Header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5">
    <w:name w:val="Заголовок1"/>
    <w:link w:val="111"/>
    <w:qFormat/>
    <w:rPr>
      <w:rFonts w:ascii="PT Astra Serif" w:hAnsi="PT Astra Serif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WW8Num1z0">
    <w:name w:val="WW8Num1z0"/>
    <w:link w:val="WW8Num1z0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16">
    <w:name w:val="Без интервала1"/>
    <w:link w:val="17"/>
    <w:qFormat/>
    <w:rPr>
      <w:rFonts w:ascii="Times New Roman" w:hAnsi="Times New Roman"/>
      <w:color w:val="000000"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a6">
    <w:name w:val="Заголовок таблицы"/>
    <w:basedOn w:val="a4"/>
    <w:link w:val="18"/>
    <w:qFormat/>
    <w:rPr>
      <w:b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311">
    <w:name w:val="Основной текст 31"/>
    <w:link w:val="312"/>
    <w:qFormat/>
    <w:rPr>
      <w:sz w:val="28"/>
    </w:rPr>
  </w:style>
  <w:style w:type="character" w:customStyle="1" w:styleId="a7">
    <w:name w:val="Текст выноски Знак"/>
    <w:link w:val="19"/>
    <w:qFormat/>
    <w:rPr>
      <w:rFonts w:ascii="Tahoma" w:hAnsi="Tahoma"/>
      <w:sz w:val="16"/>
    </w:rPr>
  </w:style>
  <w:style w:type="paragraph" w:customStyle="1" w:styleId="1a">
    <w:name w:val="Заголовок1"/>
    <w:basedOn w:val="a"/>
    <w:next w:val="a8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1b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1">
    <w:name w:val="Заголовок11"/>
    <w:basedOn w:val="a"/>
    <w:next w:val="a8"/>
    <w:link w:val="15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0">
    <w:name w:val="Указатель11"/>
    <w:basedOn w:val="a"/>
    <w:link w:val="13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rPr>
      <w:rFonts w:ascii="Arial" w:hAnsi="Arial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pPr>
      <w:widowControl w:val="0"/>
      <w:ind w:right="19772" w:firstLine="720"/>
    </w:pPr>
    <w:rPr>
      <w:rFonts w:ascii="Arial" w:hAnsi="Arial"/>
      <w:sz w:val="32"/>
    </w:rPr>
  </w:style>
  <w:style w:type="paragraph" w:customStyle="1" w:styleId="210">
    <w:name w:val="Основной текст с отступом 21"/>
    <w:basedOn w:val="a"/>
    <w:link w:val="21"/>
    <w:qFormat/>
    <w:pPr>
      <w:ind w:firstLine="540"/>
      <w:jc w:val="both"/>
    </w:pPr>
    <w:rPr>
      <w:sz w:val="28"/>
    </w:rPr>
  </w:style>
  <w:style w:type="paragraph" w:customStyle="1" w:styleId="ConsPlusTitle1">
    <w:name w:val="ConsPlusTitle1"/>
    <w:link w:val="ConsPlusTitle"/>
    <w:qFormat/>
    <w:rPr>
      <w:b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Знак Знак Знак1"/>
    <w:basedOn w:val="a"/>
    <w:link w:val="a3"/>
    <w:qFormat/>
    <w:pPr>
      <w:spacing w:before="100" w:after="100"/>
    </w:pPr>
    <w:rPr>
      <w:rFonts w:ascii="Tahoma" w:hAnsi="Tahoma"/>
    </w:rPr>
  </w:style>
  <w:style w:type="paragraph" w:customStyle="1" w:styleId="12">
    <w:name w:val="Текст выноски1"/>
    <w:basedOn w:val="a"/>
    <w:link w:val="11"/>
    <w:qFormat/>
    <w:rPr>
      <w:rFonts w:ascii="Tahoma" w:hAnsi="Tahoma"/>
      <w:sz w:val="16"/>
    </w:rPr>
  </w:style>
  <w:style w:type="paragraph" w:customStyle="1" w:styleId="310">
    <w:name w:val="Основной текст с отступом 31"/>
    <w:basedOn w:val="a"/>
    <w:link w:val="31"/>
    <w:qFormat/>
    <w:pPr>
      <w:ind w:firstLine="567"/>
      <w:jc w:val="both"/>
    </w:pPr>
    <w:rPr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c">
    <w:name w:val="Основной шрифт абзаца1"/>
    <w:qFormat/>
  </w:style>
  <w:style w:type="paragraph" w:styleId="ab">
    <w:name w:val="Body Text Indent"/>
    <w:basedOn w:val="a"/>
    <w:pPr>
      <w:ind w:firstLine="540"/>
      <w:jc w:val="both"/>
    </w:pPr>
    <w:rPr>
      <w:sz w:val="2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">
    <w:name w:val="Содержимое таблицы1"/>
    <w:basedOn w:val="a"/>
    <w:link w:val="a4"/>
    <w:qFormat/>
    <w:pPr>
      <w:widowControl w:val="0"/>
    </w:pPr>
  </w:style>
  <w:style w:type="paragraph" w:customStyle="1" w:styleId="ConsTitle1">
    <w:name w:val="ConsTitle1"/>
    <w:link w:val="ConsTitle"/>
    <w:qFormat/>
    <w:pPr>
      <w:widowControl w:val="0"/>
      <w:ind w:right="19772"/>
    </w:pPr>
    <w:rPr>
      <w:rFonts w:ascii="Arial" w:hAnsi="Arial"/>
      <w:b/>
      <w:sz w:val="22"/>
    </w:rPr>
  </w:style>
  <w:style w:type="paragraph" w:customStyle="1" w:styleId="Internetlink">
    <w:name w:val="Internet link"/>
    <w:qFormat/>
    <w:rPr>
      <w:color w:val="0563C1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Колонтитул"/>
    <w:basedOn w:val="a"/>
    <w:qFormat/>
    <w:pPr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WW8Num1z01">
    <w:name w:val="WW8Num1z01"/>
    <w:link w:val="WW8Num1z0"/>
    <w:qFormat/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Без интервала1"/>
    <w:link w:val="16"/>
    <w:qFormat/>
    <w:rPr>
      <w:sz w:val="24"/>
    </w:rPr>
  </w:style>
  <w:style w:type="paragraph" w:styleId="af0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8">
    <w:name w:val="Заголовок таблицы1"/>
    <w:basedOn w:val="14"/>
    <w:link w:val="a6"/>
    <w:qFormat/>
    <w:pPr>
      <w:jc w:val="center"/>
    </w:pPr>
    <w:rPr>
      <w:b/>
    </w:rPr>
  </w:style>
  <w:style w:type="paragraph" w:customStyle="1" w:styleId="312">
    <w:name w:val="Основной текст 31"/>
    <w:basedOn w:val="a"/>
    <w:link w:val="311"/>
    <w:qFormat/>
    <w:pPr>
      <w:ind w:right="-766"/>
      <w:jc w:val="both"/>
    </w:pPr>
    <w:rPr>
      <w:sz w:val="28"/>
    </w:rPr>
  </w:style>
  <w:style w:type="paragraph" w:customStyle="1" w:styleId="19">
    <w:name w:val="Текст выноски Знак1"/>
    <w:link w:val="a7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Карпушева</dc:creator>
  <dc:description/>
  <cp:lastModifiedBy>Людмила Александровна Карпушева</cp:lastModifiedBy>
  <cp:revision>3</cp:revision>
  <dcterms:created xsi:type="dcterms:W3CDTF">2026-05-13T05:44:00Z</dcterms:created>
  <dcterms:modified xsi:type="dcterms:W3CDTF">2026-05-13T05:45:00Z</dcterms:modified>
  <dc:language>ru-RU</dc:language>
</cp:coreProperties>
</file>