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B1B" w:rsidRDefault="006D1B1B">
      <w:pPr>
        <w:rPr>
          <w:sz w:val="24"/>
        </w:rPr>
      </w:pPr>
    </w:p>
    <w:tbl>
      <w:tblPr>
        <w:tblW w:w="0" w:type="auto"/>
        <w:tblLayout w:type="fixed"/>
        <w:tblLook w:val="04A0" w:firstRow="1" w:lastRow="0" w:firstColumn="1" w:lastColumn="0" w:noHBand="0" w:noVBand="1"/>
      </w:tblPr>
      <w:tblGrid>
        <w:gridCol w:w="4514"/>
        <w:gridCol w:w="4556"/>
      </w:tblGrid>
      <w:tr w:rsidR="006D1B1B" w:rsidRPr="002A3BAD">
        <w:tc>
          <w:tcPr>
            <w:tcW w:w="4514" w:type="dxa"/>
          </w:tcPr>
          <w:p w:rsidR="006D1B1B" w:rsidRDefault="006D1B1B">
            <w:pPr>
              <w:spacing w:line="276" w:lineRule="auto"/>
              <w:jc w:val="both"/>
              <w:rPr>
                <w:b/>
                <w:sz w:val="24"/>
              </w:rPr>
            </w:pPr>
            <w:bookmarkStart w:id="0" w:name="_GoBack"/>
            <w:bookmarkEnd w:id="0"/>
          </w:p>
        </w:tc>
        <w:tc>
          <w:tcPr>
            <w:tcW w:w="4556" w:type="dxa"/>
          </w:tcPr>
          <w:p w:rsidR="006D1B1B" w:rsidRPr="002A3BAD" w:rsidRDefault="00765A51" w:rsidP="00B24E9D">
            <w:pPr>
              <w:spacing w:line="276" w:lineRule="auto"/>
              <w:jc w:val="right"/>
              <w:rPr>
                <w:sz w:val="24"/>
                <w:szCs w:val="24"/>
              </w:rPr>
            </w:pPr>
            <w:r w:rsidRPr="002A3BAD">
              <w:rPr>
                <w:sz w:val="24"/>
                <w:szCs w:val="24"/>
              </w:rPr>
              <w:t xml:space="preserve">Проект № </w:t>
            </w:r>
            <w:r w:rsidR="00B24E9D">
              <w:rPr>
                <w:sz w:val="24"/>
                <w:szCs w:val="24"/>
              </w:rPr>
              <w:t>187</w:t>
            </w:r>
            <w:r w:rsidRPr="002A3BAD">
              <w:rPr>
                <w:sz w:val="24"/>
                <w:szCs w:val="24"/>
              </w:rPr>
              <w:t>-пр</w:t>
            </w:r>
          </w:p>
        </w:tc>
      </w:tr>
      <w:tr w:rsidR="006D1B1B">
        <w:tc>
          <w:tcPr>
            <w:tcW w:w="4514" w:type="dxa"/>
          </w:tcPr>
          <w:p w:rsidR="006D1B1B" w:rsidRDefault="006D1B1B">
            <w:pPr>
              <w:spacing w:line="276" w:lineRule="auto"/>
              <w:jc w:val="both"/>
              <w:rPr>
                <w:b/>
                <w:sz w:val="24"/>
              </w:rPr>
            </w:pPr>
          </w:p>
        </w:tc>
        <w:tc>
          <w:tcPr>
            <w:tcW w:w="4556" w:type="dxa"/>
          </w:tcPr>
          <w:p w:rsidR="006D1B1B" w:rsidRDefault="006D1B1B">
            <w:pPr>
              <w:rPr>
                <w:b/>
                <w:sz w:val="24"/>
              </w:rPr>
            </w:pPr>
          </w:p>
        </w:tc>
      </w:tr>
    </w:tbl>
    <w:p w:rsidR="006D1B1B" w:rsidRDefault="00765A51">
      <w:pPr>
        <w:pStyle w:val="ae"/>
        <w:spacing w:after="600"/>
        <w:ind w:left="0" w:firstLine="0"/>
        <w:outlineLvl w:val="0"/>
      </w:pPr>
      <w:r>
        <w:t>ЗАКОН НЕНЕЦКОГО АВТОНОМНОГО ОКРУГА</w:t>
      </w:r>
    </w:p>
    <w:p w:rsidR="006D1B1B" w:rsidRDefault="00765A51">
      <w:pPr>
        <w:pStyle w:val="ae"/>
        <w:ind w:left="0" w:firstLine="0"/>
        <w:rPr>
          <w:b w:val="0"/>
        </w:rPr>
      </w:pPr>
      <w:r w:rsidRPr="00723657">
        <w:rPr>
          <w:sz w:val="28"/>
          <w:szCs w:val="28"/>
        </w:rPr>
        <w:t>О внесении изменения в статью 1 закона Ненецкого автономного округа «О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w:t>
      </w:r>
    </w:p>
    <w:p w:rsidR="006D1B1B" w:rsidRDefault="00765A51" w:rsidP="00723657">
      <w:pPr>
        <w:spacing w:before="800" w:after="600"/>
        <w:jc w:val="both"/>
        <w:rPr>
          <w:sz w:val="24"/>
        </w:rPr>
      </w:pPr>
      <w:r>
        <w:rPr>
          <w:sz w:val="24"/>
        </w:rPr>
        <w:t xml:space="preserve">Для принятия в первом чтении                                             </w:t>
      </w:r>
      <w:proofErr w:type="gramStart"/>
      <w:r>
        <w:rPr>
          <w:sz w:val="24"/>
        </w:rPr>
        <w:t xml:space="preserve">   «</w:t>
      </w:r>
      <w:proofErr w:type="gramEnd"/>
      <w:r>
        <w:rPr>
          <w:sz w:val="24"/>
        </w:rPr>
        <w:t>____»__________ 2026 года</w:t>
      </w:r>
    </w:p>
    <w:p w:rsidR="006D1B1B" w:rsidRDefault="00765A51">
      <w:pPr>
        <w:pStyle w:val="a7"/>
        <w:ind w:firstLine="709"/>
        <w:rPr>
          <w:rFonts w:ascii="Times New Roman" w:hAnsi="Times New Roman"/>
          <w:b/>
          <w:sz w:val="24"/>
        </w:rPr>
      </w:pPr>
      <w:r>
        <w:rPr>
          <w:rFonts w:ascii="Times New Roman" w:hAnsi="Times New Roman"/>
          <w:b/>
          <w:sz w:val="24"/>
        </w:rPr>
        <w:t xml:space="preserve">Статья 1 </w:t>
      </w:r>
    </w:p>
    <w:p w:rsidR="006D1B1B" w:rsidRDefault="006D1B1B">
      <w:pPr>
        <w:pStyle w:val="a7"/>
        <w:ind w:firstLine="709"/>
        <w:rPr>
          <w:rFonts w:ascii="Times New Roman" w:hAnsi="Times New Roman"/>
          <w:sz w:val="24"/>
        </w:rPr>
      </w:pPr>
    </w:p>
    <w:p w:rsidR="006D1B1B" w:rsidRDefault="00765A51">
      <w:pPr>
        <w:ind w:firstLine="709"/>
        <w:jc w:val="both"/>
        <w:rPr>
          <w:sz w:val="24"/>
        </w:rPr>
      </w:pPr>
      <w:r>
        <w:rPr>
          <w:sz w:val="24"/>
        </w:rPr>
        <w:t xml:space="preserve">Внести в статью 1 </w:t>
      </w:r>
      <w:r>
        <w:rPr>
          <w:sz w:val="24"/>
          <w:u w:color="000000"/>
        </w:rPr>
        <w:t>закона</w:t>
      </w:r>
      <w:r>
        <w:rPr>
          <w:sz w:val="24"/>
        </w:rPr>
        <w:t xml:space="preserve"> Ненецкого автономного округа от 22 марта 2011 года </w:t>
      </w:r>
      <w:r>
        <w:rPr>
          <w:sz w:val="24"/>
        </w:rPr>
        <w:br/>
        <w:t>№ 11-оз «О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 (в редакции закона округа от 26 марта 2024 года № 26-оз) изменение, дополнив частью 3 следующего содержания:</w:t>
      </w:r>
    </w:p>
    <w:p w:rsidR="006D1B1B" w:rsidRDefault="00765A51" w:rsidP="000A471F">
      <w:pPr>
        <w:pStyle w:val="a9"/>
        <w:spacing w:beforeAutospacing="0" w:afterAutospacing="0"/>
        <w:ind w:firstLine="709"/>
        <w:jc w:val="both"/>
      </w:pPr>
      <w:r>
        <w:t>«3. Письменные обращения лиц, указанных в пунктах 6 – 10  части 2 статьи 3 настоящего закона, рассматриваются в течение 15 дней со дня регистрации обращений.</w:t>
      </w:r>
    </w:p>
    <w:p w:rsidR="006D1B1B" w:rsidRDefault="00765A51" w:rsidP="000A471F">
      <w:pPr>
        <w:pStyle w:val="ConsPlusNormal"/>
        <w:ind w:firstLine="709"/>
        <w:jc w:val="both"/>
        <w:rPr>
          <w:rFonts w:ascii="Times New Roman" w:hAnsi="Times New Roman"/>
          <w:sz w:val="24"/>
        </w:rPr>
      </w:pPr>
      <w:r>
        <w:rPr>
          <w:rFonts w:ascii="Times New Roman" w:hAnsi="Times New Roman"/>
          <w:sz w:val="24"/>
        </w:rPr>
        <w:t xml:space="preserve">В исключительных случаях, а также в случае направления запроса, предусмотренного частью 2 статьи 10 Федерального закона от 2 мая 2006 года № 59-ФЗ </w:t>
      </w:r>
      <w:r>
        <w:rPr>
          <w:rFonts w:ascii="Times New Roman" w:hAnsi="Times New Roman"/>
          <w:sz w:val="24"/>
        </w:rPr>
        <w:br/>
        <w:t>«О порядке рассмотрения обращений граждан Российской Федерации», руководитель государственного органа, органа местного самоуправления, должностное лицо либо уполномоченное на то лицо вправе продлить срок рассмотрения обращения не более чем на 15 дней, уведомив о продлении срока его рассмотрения гражданина, направившего обращение.».</w:t>
      </w:r>
    </w:p>
    <w:p w:rsidR="006D1B1B" w:rsidRDefault="006D1B1B">
      <w:pPr>
        <w:ind w:firstLine="709"/>
        <w:jc w:val="both"/>
        <w:rPr>
          <w:b/>
          <w:sz w:val="24"/>
        </w:rPr>
      </w:pPr>
    </w:p>
    <w:p w:rsidR="006D1B1B" w:rsidRDefault="00765A51">
      <w:pPr>
        <w:ind w:firstLine="709"/>
        <w:jc w:val="both"/>
        <w:rPr>
          <w:b/>
          <w:sz w:val="24"/>
        </w:rPr>
      </w:pPr>
      <w:r>
        <w:rPr>
          <w:b/>
          <w:sz w:val="24"/>
        </w:rPr>
        <w:t>Статья 2</w:t>
      </w:r>
    </w:p>
    <w:p w:rsidR="006D1B1B" w:rsidRDefault="006D1B1B">
      <w:pPr>
        <w:ind w:firstLine="709"/>
        <w:jc w:val="both"/>
        <w:rPr>
          <w:b/>
          <w:sz w:val="24"/>
        </w:rPr>
      </w:pPr>
    </w:p>
    <w:p w:rsidR="006D1B1B" w:rsidRDefault="00765A51">
      <w:pPr>
        <w:ind w:firstLine="709"/>
        <w:jc w:val="both"/>
        <w:rPr>
          <w:sz w:val="24"/>
        </w:rPr>
      </w:pPr>
      <w:r>
        <w:rPr>
          <w:sz w:val="24"/>
        </w:rPr>
        <w:t>Настоящий закон вступает в силу со дня его официального опубликования.</w:t>
      </w:r>
    </w:p>
    <w:p w:rsidR="006D1B1B" w:rsidRDefault="006D1B1B">
      <w:pPr>
        <w:ind w:firstLine="709"/>
        <w:jc w:val="both"/>
        <w:rPr>
          <w:sz w:val="24"/>
        </w:rPr>
      </w:pPr>
    </w:p>
    <w:p w:rsidR="006D1B1B" w:rsidRDefault="006D1B1B">
      <w:pPr>
        <w:ind w:firstLine="709"/>
        <w:jc w:val="both"/>
        <w:rPr>
          <w:sz w:val="24"/>
        </w:rPr>
      </w:pPr>
    </w:p>
    <w:p w:rsidR="006D1B1B" w:rsidRDefault="006D1B1B">
      <w:pPr>
        <w:ind w:firstLine="709"/>
        <w:jc w:val="both"/>
        <w:rPr>
          <w:sz w:val="24"/>
        </w:rPr>
      </w:pPr>
    </w:p>
    <w:tbl>
      <w:tblPr>
        <w:tblStyle w:val="af0"/>
        <w:tblW w:w="0" w:type="auto"/>
        <w:tblBorders>
          <w:top w:val="nil"/>
          <w:left w:val="nil"/>
          <w:bottom w:val="nil"/>
          <w:right w:val="nil"/>
          <w:insideH w:val="nil"/>
          <w:insideV w:val="nil"/>
        </w:tblBorders>
        <w:tblLayout w:type="fixed"/>
        <w:tblLook w:val="04A0" w:firstRow="1" w:lastRow="0" w:firstColumn="1" w:lastColumn="0" w:noHBand="0" w:noVBand="1"/>
      </w:tblPr>
      <w:tblGrid>
        <w:gridCol w:w="4077"/>
        <w:gridCol w:w="993"/>
        <w:gridCol w:w="4253"/>
      </w:tblGrid>
      <w:tr w:rsidR="006D1B1B">
        <w:tc>
          <w:tcPr>
            <w:tcW w:w="4077" w:type="dxa"/>
            <w:tcBorders>
              <w:top w:val="nil"/>
              <w:left w:val="nil"/>
              <w:bottom w:val="nil"/>
              <w:right w:val="nil"/>
            </w:tcBorders>
          </w:tcPr>
          <w:p w:rsidR="006D1B1B" w:rsidRDefault="00765A51">
            <w:pPr>
              <w:rPr>
                <w:b/>
                <w:sz w:val="24"/>
              </w:rPr>
            </w:pPr>
            <w:r>
              <w:rPr>
                <w:b/>
                <w:sz w:val="24"/>
              </w:rPr>
              <w:t>Председатель Собрания депутатов</w:t>
            </w:r>
          </w:p>
          <w:p w:rsidR="006D1B1B" w:rsidRDefault="00765A51">
            <w:pPr>
              <w:spacing w:after="1000"/>
              <w:rPr>
                <w:b/>
                <w:sz w:val="24"/>
              </w:rPr>
            </w:pPr>
            <w:r>
              <w:rPr>
                <w:b/>
                <w:sz w:val="24"/>
              </w:rPr>
              <w:t>Ненецкого автономного округа</w:t>
            </w:r>
          </w:p>
          <w:p w:rsidR="006D1B1B" w:rsidRDefault="00765A51">
            <w:pPr>
              <w:jc w:val="right"/>
              <w:rPr>
                <w:b/>
                <w:sz w:val="24"/>
              </w:rPr>
            </w:pPr>
            <w:r>
              <w:rPr>
                <w:b/>
                <w:sz w:val="24"/>
              </w:rPr>
              <w:t>А.П. Чурсанов</w:t>
            </w:r>
          </w:p>
        </w:tc>
        <w:tc>
          <w:tcPr>
            <w:tcW w:w="993" w:type="dxa"/>
            <w:tcBorders>
              <w:top w:val="nil"/>
              <w:left w:val="nil"/>
              <w:bottom w:val="nil"/>
              <w:right w:val="nil"/>
            </w:tcBorders>
          </w:tcPr>
          <w:p w:rsidR="006D1B1B" w:rsidRDefault="006D1B1B">
            <w:pPr>
              <w:spacing w:after="1000"/>
              <w:jc w:val="both"/>
              <w:rPr>
                <w:b/>
                <w:sz w:val="24"/>
              </w:rPr>
            </w:pPr>
          </w:p>
        </w:tc>
        <w:tc>
          <w:tcPr>
            <w:tcW w:w="4253" w:type="dxa"/>
            <w:tcBorders>
              <w:top w:val="nil"/>
              <w:left w:val="nil"/>
              <w:bottom w:val="nil"/>
              <w:right w:val="nil"/>
            </w:tcBorders>
          </w:tcPr>
          <w:p w:rsidR="006D1B1B" w:rsidRDefault="00765A51">
            <w:pPr>
              <w:rPr>
                <w:b/>
                <w:sz w:val="24"/>
              </w:rPr>
            </w:pPr>
            <w:r>
              <w:rPr>
                <w:b/>
                <w:sz w:val="24"/>
              </w:rPr>
              <w:t xml:space="preserve">Губернатор </w:t>
            </w:r>
          </w:p>
          <w:p w:rsidR="006D1B1B" w:rsidRDefault="00765A51">
            <w:pPr>
              <w:spacing w:after="1000"/>
              <w:rPr>
                <w:b/>
                <w:sz w:val="24"/>
              </w:rPr>
            </w:pPr>
            <w:r>
              <w:rPr>
                <w:b/>
                <w:sz w:val="24"/>
              </w:rPr>
              <w:t>Ненецкого автономного округа</w:t>
            </w:r>
          </w:p>
          <w:p w:rsidR="006D1B1B" w:rsidRDefault="00765A51">
            <w:pPr>
              <w:jc w:val="right"/>
              <w:rPr>
                <w:b/>
                <w:sz w:val="24"/>
              </w:rPr>
            </w:pPr>
            <w:r>
              <w:rPr>
                <w:b/>
                <w:sz w:val="24"/>
              </w:rPr>
              <w:t xml:space="preserve">И.А. </w:t>
            </w:r>
            <w:proofErr w:type="spellStart"/>
            <w:r>
              <w:rPr>
                <w:b/>
                <w:sz w:val="24"/>
              </w:rPr>
              <w:t>Гехт</w:t>
            </w:r>
            <w:proofErr w:type="spellEnd"/>
          </w:p>
        </w:tc>
      </w:tr>
    </w:tbl>
    <w:p w:rsidR="006D1B1B" w:rsidRDefault="00765A51">
      <w:pPr>
        <w:spacing w:before="1000"/>
        <w:rPr>
          <w:sz w:val="24"/>
        </w:rPr>
      </w:pPr>
      <w:r>
        <w:rPr>
          <w:sz w:val="24"/>
        </w:rPr>
        <w:t>г. Нарьян-Мар</w:t>
      </w:r>
    </w:p>
    <w:p w:rsidR="006D1B1B" w:rsidRDefault="00765A51">
      <w:pPr>
        <w:rPr>
          <w:sz w:val="24"/>
        </w:rPr>
      </w:pPr>
      <w:r>
        <w:rPr>
          <w:sz w:val="24"/>
        </w:rPr>
        <w:t>«____» ______________ 2026 года</w:t>
      </w:r>
    </w:p>
    <w:p w:rsidR="006D1B1B" w:rsidRDefault="00765A51">
      <w:pPr>
        <w:rPr>
          <w:sz w:val="24"/>
        </w:rPr>
      </w:pPr>
      <w:r>
        <w:rPr>
          <w:sz w:val="24"/>
        </w:rPr>
        <w:t xml:space="preserve"> № ____-</w:t>
      </w:r>
      <w:proofErr w:type="spellStart"/>
      <w:r>
        <w:rPr>
          <w:sz w:val="24"/>
        </w:rPr>
        <w:t>оз</w:t>
      </w:r>
      <w:proofErr w:type="spellEnd"/>
    </w:p>
    <w:p w:rsidR="006D1B1B" w:rsidRDefault="00765A51">
      <w:pPr>
        <w:pStyle w:val="120"/>
        <w:spacing w:before="0"/>
        <w:rPr>
          <w:sz w:val="24"/>
        </w:rPr>
      </w:pPr>
      <w:r>
        <w:rPr>
          <w:sz w:val="24"/>
        </w:rPr>
        <w:lastRenderedPageBreak/>
        <w:t>ПОЯСНИТЕЛЬНАЯ ЗАПИСКА</w:t>
      </w:r>
    </w:p>
    <w:p w:rsidR="006D1B1B" w:rsidRDefault="006D1B1B">
      <w:pPr>
        <w:pStyle w:val="120"/>
        <w:spacing w:before="0"/>
        <w:rPr>
          <w:sz w:val="24"/>
        </w:rPr>
      </w:pPr>
    </w:p>
    <w:p w:rsidR="006D1B1B" w:rsidRDefault="00765A51">
      <w:pPr>
        <w:pStyle w:val="ae"/>
        <w:ind w:left="0" w:firstLine="0"/>
        <w:rPr>
          <w:b w:val="0"/>
        </w:rPr>
      </w:pPr>
      <w:r>
        <w:t xml:space="preserve">к проекту закона Ненецкого автономного округа «О внесении изменения в </w:t>
      </w:r>
      <w:r>
        <w:br/>
        <w:t>статью 1 закона Ненецкого автономного округа «О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w:t>
      </w:r>
    </w:p>
    <w:p w:rsidR="006D1B1B" w:rsidRDefault="006D1B1B">
      <w:pPr>
        <w:pStyle w:val="120"/>
        <w:spacing w:before="0" w:after="120" w:line="240" w:lineRule="exact"/>
        <w:rPr>
          <w:sz w:val="24"/>
        </w:rPr>
      </w:pPr>
    </w:p>
    <w:p w:rsidR="006D1B1B" w:rsidRDefault="00765A51">
      <w:pPr>
        <w:pStyle w:val="ae"/>
        <w:ind w:left="0" w:firstLine="709"/>
        <w:jc w:val="both"/>
        <w:rPr>
          <w:b w:val="0"/>
        </w:rPr>
      </w:pPr>
      <w:r>
        <w:rPr>
          <w:b w:val="0"/>
        </w:rPr>
        <w:t>Проект закона Ненецкого автономного округа «О внесении изменения в статью 1 закона Ненецкого автономного округа «О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 (далее – проект) разработан в целях оперативного реагирования соответствующих уполномоченных государственных органов автономного округа и должностных лиц на направляемые в их адрес письменные обращения граждан, принимающих участие в специальной военной операции, членов их семей.</w:t>
      </w:r>
    </w:p>
    <w:p w:rsidR="006D1B1B" w:rsidRDefault="00765A51">
      <w:pPr>
        <w:ind w:firstLine="709"/>
        <w:contextualSpacing/>
        <w:jc w:val="both"/>
        <w:rPr>
          <w:sz w:val="24"/>
        </w:rPr>
      </w:pPr>
      <w:r>
        <w:rPr>
          <w:sz w:val="24"/>
        </w:rPr>
        <w:t>Поддержка граждан, принимающих участие в специальной военной операции, членов их семей является безусловным приоритетом в деятельности всех уровней власти.</w:t>
      </w:r>
    </w:p>
    <w:p w:rsidR="006D1B1B" w:rsidRDefault="00765A51">
      <w:pPr>
        <w:ind w:firstLine="709"/>
        <w:contextualSpacing/>
        <w:jc w:val="both"/>
        <w:rPr>
          <w:sz w:val="24"/>
        </w:rPr>
      </w:pPr>
      <w:r>
        <w:rPr>
          <w:sz w:val="24"/>
        </w:rPr>
        <w:t>В регионе принимается комплекс мер по установлению социальных гарантий и преференций для таких лиц, установлены различные единовременные и ежемесячные выплаты, предусмотрено право на получение земельных участков в собственность бесплатно, преимущественное право получения жилого помещения участниками из числа детей-сирот и детей, оставшихся без попечения родителей и другие.</w:t>
      </w:r>
    </w:p>
    <w:p w:rsidR="006D1B1B" w:rsidRDefault="00765A51">
      <w:pPr>
        <w:ind w:firstLine="709"/>
        <w:contextualSpacing/>
        <w:jc w:val="both"/>
        <w:rPr>
          <w:sz w:val="24"/>
        </w:rPr>
      </w:pPr>
      <w:r>
        <w:rPr>
          <w:sz w:val="24"/>
        </w:rPr>
        <w:t>Законодательную основу регулирования правоотношений, связанных с реализацией гражданами Российской Федерации конституционного права на обращение в государственные органы и организации, осуществляющие публично значимые функции, определил Федеральный закон от 02.05.2006  № 59-ФЗ «О порядке рассмотрения обращений граждан Российской Федерации», который закрепил право субъектов Российской Федерации наряду с основными гарантиями прав граждан на обращение, устанавливать дополнительные гарантии этих прав, направленные на их конкретизацию, создание дополнительных механизмов их реализации, с учетом региональных особенностей (условий) и с соблюдением конституционных требований о </w:t>
      </w:r>
      <w:proofErr w:type="spellStart"/>
      <w:r>
        <w:rPr>
          <w:sz w:val="24"/>
        </w:rPr>
        <w:t>непротиворечии</w:t>
      </w:r>
      <w:proofErr w:type="spellEnd"/>
      <w:r>
        <w:rPr>
          <w:sz w:val="24"/>
        </w:rPr>
        <w:t xml:space="preserve"> законов субъектов Российской Федерации федеральным законам и о недопустимости ограничения прав и свобод человека и гражданина в форме иной, нежели федеральный закон.</w:t>
      </w:r>
    </w:p>
    <w:p w:rsidR="006D1B1B" w:rsidRDefault="00765A51">
      <w:pPr>
        <w:ind w:firstLine="709"/>
        <w:jc w:val="both"/>
        <w:rPr>
          <w:sz w:val="24"/>
        </w:rPr>
      </w:pPr>
      <w:r>
        <w:rPr>
          <w:sz w:val="24"/>
        </w:rPr>
        <w:t>Потребность разработки законопроекта обусловлена необходимостью своевременной защиты и (или) восстановления нарушенных прав, законных интересов рассматриваемой категории лиц.</w:t>
      </w:r>
    </w:p>
    <w:p w:rsidR="006D1B1B" w:rsidRDefault="00765A51">
      <w:pPr>
        <w:ind w:firstLine="709"/>
        <w:jc w:val="both"/>
        <w:rPr>
          <w:sz w:val="24"/>
        </w:rPr>
      </w:pPr>
      <w:r>
        <w:rPr>
          <w:sz w:val="24"/>
        </w:rPr>
        <w:t xml:space="preserve">Законопроектом предлагается сократить общий срок рассмотрения письменных обращений участников специальной военной операции и членов их семей, поступивших в государственные органы Ненецкого автономного округа и органы местного самоуправления и содержащих вопросы по оказанию мер социальной поддержки указанной категории граждан, с 30 дней до 15 дней со дня регистрации таких обращений. </w:t>
      </w:r>
    </w:p>
    <w:p w:rsidR="006D1B1B" w:rsidRDefault="00765A51">
      <w:pPr>
        <w:ind w:firstLine="709"/>
        <w:jc w:val="both"/>
        <w:rPr>
          <w:sz w:val="24"/>
        </w:rPr>
      </w:pPr>
      <w:r>
        <w:rPr>
          <w:sz w:val="24"/>
        </w:rPr>
        <w:t>Аналогичные нормы введены в Астраханской, Амурской, Ростовской, Московской областях, в Алтайском и Хабаровском краях, а  также Республиках Алтай и Крым.</w:t>
      </w:r>
    </w:p>
    <w:p w:rsidR="006D1B1B" w:rsidRDefault="00765A51">
      <w:pPr>
        <w:ind w:firstLine="709"/>
        <w:jc w:val="both"/>
        <w:rPr>
          <w:color w:val="1A1A1A"/>
          <w:sz w:val="24"/>
        </w:rPr>
      </w:pPr>
      <w:r>
        <w:rPr>
          <w:sz w:val="24"/>
        </w:rPr>
        <w:t>Принятие законопроекта не потребует материальных затрат.</w:t>
      </w:r>
    </w:p>
    <w:p w:rsidR="006D1B1B" w:rsidRDefault="00765A51">
      <w:pPr>
        <w:tabs>
          <w:tab w:val="left" w:pos="709"/>
        </w:tabs>
        <w:ind w:right="-2" w:firstLine="709"/>
        <w:jc w:val="both"/>
        <w:rPr>
          <w:sz w:val="24"/>
        </w:rPr>
      </w:pPr>
      <w:r>
        <w:rPr>
          <w:sz w:val="24"/>
        </w:rPr>
        <w:t>Представленный законопроект не подлежит оценке регулирующего воздействия, подлежит обязательному общественному обсуждению в рамках статьи 55.1 Регламента Собрания депутатов Ненецкого автономного округа.</w:t>
      </w:r>
    </w:p>
    <w:sectPr w:rsidR="006D1B1B">
      <w:pgSz w:w="11906" w:h="16838"/>
      <w:pgMar w:top="1134" w:right="1418"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
  <w:rsids>
    <w:rsidRoot w:val="006D1B1B"/>
    <w:rsid w:val="000A471F"/>
    <w:rsid w:val="00117CEA"/>
    <w:rsid w:val="002A3BAD"/>
    <w:rsid w:val="006D1B1B"/>
    <w:rsid w:val="00723657"/>
    <w:rsid w:val="00765A51"/>
    <w:rsid w:val="00B24E9D"/>
    <w:rsid w:val="00FB5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CC4B8-E102-4215-97ED-6A5527AD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next w:val="a"/>
    <w:link w:val="20"/>
    <w:uiPriority w:val="9"/>
    <w:qFormat/>
    <w:pPr>
      <w:keepNext/>
      <w:keepLines/>
      <w:spacing w:before="200" w:line="276" w:lineRule="auto"/>
      <w:outlineLvl w:val="1"/>
    </w:pPr>
    <w:rPr>
      <w:rFonts w:asciiTheme="majorHAnsi" w:hAnsiTheme="majorHAnsi"/>
      <w:b/>
      <w:color w:val="5B9BD5"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2">
    <w:name w:val="Обычный1"/>
    <w:link w:val="13"/>
    <w:rPr>
      <w:rFonts w:ascii="Times New Roman" w:hAnsi="Times New Roman"/>
      <w:sz w:val="20"/>
    </w:rPr>
  </w:style>
  <w:style w:type="character" w:customStyle="1" w:styleId="13">
    <w:name w:val="Обычный1"/>
    <w:link w:val="12"/>
    <w:rPr>
      <w:rFonts w:ascii="Times New Roman" w:hAnsi="Times New Roman"/>
      <w:sz w:val="20"/>
    </w:rPr>
  </w:style>
  <w:style w:type="paragraph" w:customStyle="1" w:styleId="extendedtext-short">
    <w:name w:val="extendedtext-short"/>
    <w:basedOn w:val="14"/>
    <w:link w:val="extendedtext-short0"/>
  </w:style>
  <w:style w:type="character" w:customStyle="1" w:styleId="extendedtext-short0">
    <w:name w:val="extendedtext-short"/>
    <w:basedOn w:val="15"/>
    <w:link w:val="extendedtext-short"/>
  </w:style>
  <w:style w:type="paragraph" w:customStyle="1" w:styleId="16">
    <w:name w:val="Обычный1"/>
    <w:link w:val="17"/>
    <w:rPr>
      <w:rFonts w:ascii="Times New Roman" w:hAnsi="Times New Roman"/>
      <w:sz w:val="20"/>
    </w:rPr>
  </w:style>
  <w:style w:type="character" w:customStyle="1" w:styleId="17">
    <w:name w:val="Обычный1"/>
    <w:link w:val="16"/>
    <w:rPr>
      <w:rFonts w:ascii="Times New Roman" w:hAnsi="Times New Roman"/>
      <w:sz w:val="20"/>
    </w:rPr>
  </w:style>
  <w:style w:type="paragraph" w:styleId="a3">
    <w:name w:val="Balloon Text"/>
    <w:basedOn w:val="a"/>
    <w:link w:val="a4"/>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a5">
    <w:name w:val="Body Text Indent"/>
    <w:basedOn w:val="a"/>
    <w:link w:val="a6"/>
    <w:pPr>
      <w:spacing w:after="120"/>
      <w:ind w:left="283"/>
    </w:pPr>
    <w:rPr>
      <w:sz w:val="24"/>
    </w:rPr>
  </w:style>
  <w:style w:type="character" w:customStyle="1" w:styleId="a6">
    <w:name w:val="Основной текст с отступом Знак"/>
    <w:basedOn w:val="1"/>
    <w:link w:val="a5"/>
    <w:rPr>
      <w:rFonts w:ascii="Times New Roman" w:hAnsi="Times New Roman"/>
      <w:sz w:val="24"/>
    </w:rPr>
  </w:style>
  <w:style w:type="paragraph" w:customStyle="1" w:styleId="120">
    <w:name w:val="1.2 Название закона"/>
    <w:basedOn w:val="a"/>
    <w:next w:val="a"/>
    <w:link w:val="121"/>
    <w:pPr>
      <w:spacing w:before="1000"/>
      <w:contextualSpacing/>
      <w:jc w:val="center"/>
    </w:pPr>
    <w:rPr>
      <w:b/>
      <w:sz w:val="28"/>
    </w:rPr>
  </w:style>
  <w:style w:type="character" w:customStyle="1" w:styleId="121">
    <w:name w:val="1.2 Название закона"/>
    <w:basedOn w:val="1"/>
    <w:link w:val="120"/>
    <w:rPr>
      <w:rFonts w:ascii="Times New Roman" w:hAnsi="Times New Roman"/>
      <w:b/>
      <w:sz w:val="28"/>
    </w:rPr>
  </w:style>
  <w:style w:type="paragraph" w:styleId="a7">
    <w:name w:val="No Spacing"/>
    <w:link w:val="a8"/>
    <w:pPr>
      <w:spacing w:after="0" w:line="240" w:lineRule="auto"/>
    </w:pPr>
  </w:style>
  <w:style w:type="character" w:customStyle="1" w:styleId="a8">
    <w:name w:val="Без интервала Знак"/>
    <w:link w:val="a7"/>
  </w:style>
  <w:style w:type="paragraph" w:styleId="a9">
    <w:name w:val="Normal (Web)"/>
    <w:basedOn w:val="a"/>
    <w:link w:val="aa"/>
    <w:pPr>
      <w:spacing w:beforeAutospacing="1" w:afterAutospacing="1"/>
    </w:pPr>
    <w:rPr>
      <w:sz w:val="24"/>
    </w:rPr>
  </w:style>
  <w:style w:type="character" w:customStyle="1" w:styleId="aa">
    <w:name w:val="Обычный (веб) Знак"/>
    <w:basedOn w:val="1"/>
    <w:link w:val="a9"/>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8">
    <w:name w:val="Гиперссылка1"/>
    <w:basedOn w:val="14"/>
    <w:link w:val="19"/>
    <w:rPr>
      <w:color w:val="0000FF"/>
      <w:u w:val="single"/>
    </w:rPr>
  </w:style>
  <w:style w:type="character" w:customStyle="1" w:styleId="19">
    <w:name w:val="Гиперссылка1"/>
    <w:basedOn w:val="15"/>
    <w:link w:val="18"/>
    <w:rPr>
      <w:color w:val="0000FF"/>
      <w:u w:val="single"/>
    </w:rPr>
  </w:style>
  <w:style w:type="character" w:customStyle="1" w:styleId="50">
    <w:name w:val="Заголовок 5 Знак"/>
    <w:link w:val="5"/>
    <w:rPr>
      <w:rFonts w:ascii="XO Thames" w:hAnsi="XO Thames"/>
      <w:b/>
    </w:rPr>
  </w:style>
  <w:style w:type="paragraph" w:customStyle="1" w:styleId="1a">
    <w:name w:val="Обычный1"/>
    <w:link w:val="1b"/>
    <w:rPr>
      <w:rFonts w:ascii="Times New Roman" w:hAnsi="Times New Roman"/>
      <w:sz w:val="20"/>
    </w:rPr>
  </w:style>
  <w:style w:type="character" w:customStyle="1" w:styleId="1b">
    <w:name w:val="Обычный1"/>
    <w:link w:val="1a"/>
    <w:rPr>
      <w:rFonts w:ascii="Times New Roman" w:hAnsi="Times New Roman"/>
      <w:sz w:val="20"/>
    </w:rPr>
  </w:style>
  <w:style w:type="character" w:customStyle="1" w:styleId="11">
    <w:name w:val="Заголовок 1 Знак"/>
    <w:basedOn w:val="1"/>
    <w:link w:val="10"/>
    <w:rPr>
      <w:rFonts w:asciiTheme="majorHAnsi" w:hAnsiTheme="majorHAnsi"/>
      <w:b/>
      <w:color w:val="2E74B5" w:themeColor="accent1" w:themeShade="BF"/>
      <w:sz w:val="28"/>
    </w:rPr>
  </w:style>
  <w:style w:type="paragraph" w:customStyle="1" w:styleId="33">
    <w:name w:val="Гиперссылка3"/>
    <w:link w:val="ab"/>
    <w:rPr>
      <w:color w:val="0000FF"/>
      <w:u w:val="single"/>
    </w:rPr>
  </w:style>
  <w:style w:type="character" w:styleId="ab">
    <w:name w:val="Hyperlink"/>
    <w:link w:val="3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25">
    <w:name w:val="Основной шрифт абзаца2"/>
    <w:link w:val="26"/>
  </w:style>
  <w:style w:type="character" w:customStyle="1" w:styleId="26">
    <w:name w:val="Основной шрифт абзаца2"/>
    <w:link w:val="25"/>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4">
    <w:name w:val="Основной шрифт абзаца3"/>
    <w:link w:val="35"/>
  </w:style>
  <w:style w:type="character" w:customStyle="1" w:styleId="35">
    <w:name w:val="Основной шрифт абзаца3"/>
    <w:link w:val="34"/>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21a">
    <w:name w:val="2.1a Название положения"/>
    <w:basedOn w:val="a"/>
    <w:link w:val="21a0"/>
    <w:pPr>
      <w:spacing w:beforeAutospacing="1" w:after="440"/>
      <w:contextualSpacing/>
      <w:jc w:val="center"/>
    </w:pPr>
    <w:rPr>
      <w:b/>
      <w:caps/>
      <w:sz w:val="24"/>
    </w:rPr>
  </w:style>
  <w:style w:type="character" w:customStyle="1" w:styleId="21a0">
    <w:name w:val="2.1a Название положения"/>
    <w:basedOn w:val="1"/>
    <w:link w:val="21a"/>
    <w:rPr>
      <w:rFonts w:ascii="Times New Roman" w:hAnsi="Times New Roman"/>
      <w:b/>
      <w:caps/>
      <w:sz w:val="24"/>
    </w:rPr>
  </w:style>
  <w:style w:type="paragraph" w:customStyle="1" w:styleId="43">
    <w:name w:val="Основной шрифт абзаца4"/>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basedOn w:val="a"/>
    <w:link w:val="af"/>
    <w:uiPriority w:val="10"/>
    <w:qFormat/>
    <w:pPr>
      <w:ind w:left="709" w:hanging="709"/>
      <w:jc w:val="center"/>
    </w:pPr>
    <w:rPr>
      <w:b/>
      <w:sz w:val="24"/>
    </w:rPr>
  </w:style>
  <w:style w:type="character" w:customStyle="1" w:styleId="af">
    <w:name w:val="Заголовок Знак"/>
    <w:basedOn w:val="1"/>
    <w:link w:val="ae"/>
    <w:rPr>
      <w:rFonts w:ascii="Times New Roman" w:hAnsi="Times New Roman"/>
      <w:b/>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b/>
      <w:color w:val="5B9BD5" w:themeColor="accent1"/>
      <w:sz w:val="26"/>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 Александровна Карпушева</cp:lastModifiedBy>
  <cp:revision>8</cp:revision>
  <dcterms:created xsi:type="dcterms:W3CDTF">2026-03-31T07:42:00Z</dcterms:created>
  <dcterms:modified xsi:type="dcterms:W3CDTF">2026-04-24T06:05:00Z</dcterms:modified>
</cp:coreProperties>
</file>