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pStyle w:val="Style_2"/>
        <w:widowControl w:val="1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Пояснительная записка</w:t>
      </w:r>
    </w:p>
    <w:p w14:paraId="03000000">
      <w:pPr>
        <w:pStyle w:val="Style_2"/>
        <w:widowControl w:val="1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к проекту закона Ненецкого автономного округа</w:t>
      </w:r>
    </w:p>
    <w:p w14:paraId="04000000">
      <w:pPr>
        <w:pStyle w:val="Style_2"/>
        <w:widowControl w:val="1"/>
        <w:ind/>
        <w:jc w:val="center"/>
        <w:rPr>
          <w:rFonts w:ascii="XO Thames" w:hAnsi="XO Thames"/>
          <w:b w:val="1"/>
          <w:sz w:val="26"/>
        </w:rPr>
      </w:pPr>
      <w:r>
        <w:rPr>
          <w:rFonts w:ascii="XO Thames" w:hAnsi="XO Thames"/>
          <w:b w:val="1"/>
          <w:sz w:val="26"/>
        </w:rPr>
        <w:t>«О переводе земельных участков из категории земель сельскохозяйственного назначения в другую категорию земель»</w:t>
      </w:r>
    </w:p>
    <w:p w14:paraId="05000000">
      <w:pPr>
        <w:pStyle w:val="Style_3"/>
        <w:widowControl w:val="1"/>
        <w:spacing w:after="0" w:before="0"/>
        <w:ind/>
        <w:contextualSpacing w:val="1"/>
        <w:jc w:val="center"/>
        <w:rPr>
          <w:rFonts w:ascii="XO Thames" w:hAnsi="XO Thames"/>
          <w:b w:val="1"/>
          <w:sz w:val="26"/>
        </w:rPr>
      </w:pPr>
    </w:p>
    <w:p w14:paraId="06000000">
      <w:pPr>
        <w:pStyle w:val="Style_4"/>
        <w:widowControl w:val="1"/>
        <w:spacing w:after="0" w:before="0"/>
        <w:ind w:firstLine="709" w:left="0"/>
        <w:jc w:val="both"/>
        <w:rPr>
          <w:rFonts w:ascii="XO Thames" w:hAnsi="XO Thames"/>
          <w:b w:val="0"/>
          <w:sz w:val="26"/>
        </w:rPr>
      </w:pPr>
      <w:r>
        <w:rPr>
          <w:rFonts w:ascii="XO Thames" w:hAnsi="XO Thames"/>
          <w:b w:val="0"/>
          <w:sz w:val="26"/>
        </w:rPr>
        <w:t>Субъект правотворческой инициативы:</w:t>
      </w:r>
      <w:r>
        <w:rPr>
          <w:rFonts w:ascii="XO Thames" w:hAnsi="XO Thames"/>
          <w:b w:val="0"/>
          <w:sz w:val="26"/>
        </w:rPr>
        <w:t xml:space="preserve"> губернатор </w:t>
      </w:r>
      <w:r>
        <w:rPr>
          <w:rFonts w:ascii="XO Thames" w:hAnsi="XO Thames"/>
          <w:b w:val="0"/>
          <w:sz w:val="26"/>
        </w:rPr>
        <w:t>Ненецкого автономного округа.</w:t>
      </w:r>
    </w:p>
    <w:p w14:paraId="0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b w:val="0"/>
          <w:sz w:val="26"/>
        </w:rPr>
        <w:t>Разработчик проекта:</w:t>
      </w:r>
      <w:r>
        <w:rPr>
          <w:rFonts w:ascii="XO Thames" w:hAnsi="XO Thames"/>
          <w:b w:val="0"/>
          <w:sz w:val="26"/>
        </w:rPr>
        <w:t xml:space="preserve"> </w:t>
      </w:r>
      <w:r>
        <w:rPr>
          <w:rFonts w:ascii="XO Thames" w:hAnsi="XO Thames"/>
          <w:b w:val="0"/>
          <w:spacing w:val="5"/>
          <w:sz w:val="26"/>
        </w:rPr>
        <w:t xml:space="preserve">Департамент имущественных, земельных отношений </w:t>
      </w:r>
      <w:r>
        <w:rPr>
          <w:rFonts w:ascii="XO Thames" w:hAnsi="XO Thames"/>
          <w:b w:val="0"/>
          <w:spacing w:val="5"/>
          <w:sz w:val="26"/>
        </w:rPr>
        <w:br/>
      </w:r>
      <w:r>
        <w:rPr>
          <w:rFonts w:ascii="XO Thames" w:hAnsi="XO Thames"/>
          <w:b w:val="0"/>
          <w:spacing w:val="5"/>
          <w:sz w:val="26"/>
        </w:rPr>
        <w:t xml:space="preserve">и </w:t>
      </w:r>
      <w:r>
        <w:rPr>
          <w:rFonts w:ascii="XO Thames" w:hAnsi="XO Thames"/>
          <w:spacing w:val="5"/>
          <w:sz w:val="26"/>
        </w:rPr>
        <w:t>градостроительства Ненецкого автономного округа.</w:t>
      </w:r>
    </w:p>
    <w:p w14:paraId="0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В соответствии с частью 1 статьи 3 Федерального закона </w:t>
      </w:r>
      <w:r>
        <w:rPr>
          <w:rFonts w:ascii="XO Thames" w:hAnsi="XO Thames"/>
          <w:spacing w:val="5"/>
          <w:sz w:val="26"/>
        </w:rPr>
        <w:t xml:space="preserve">от 21.12.2004 № 172-ФЗ «О переводе земель или земельных участков </w:t>
      </w:r>
      <w:r>
        <w:rPr>
          <w:rFonts w:ascii="XO Thames" w:hAnsi="XO Thames"/>
          <w:spacing w:val="5"/>
          <w:sz w:val="26"/>
        </w:rPr>
        <w:t xml:space="preserve">из одной категории  в другую»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Федеральный закон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172-ФЗ) </w:t>
      </w:r>
      <w:r>
        <w:rPr>
          <w:rFonts w:ascii="XO Thames" w:hAnsi="XO Thames"/>
          <w:spacing w:val="5"/>
          <w:sz w:val="26"/>
        </w:rPr>
        <w:t xml:space="preserve">в адрес Департамента имущественных, земельных отношений </w:t>
      </w:r>
      <w:r>
        <w:rPr>
          <w:rFonts w:ascii="XO Thames" w:hAnsi="XO Thames"/>
          <w:spacing w:val="5"/>
          <w:sz w:val="26"/>
        </w:rPr>
        <w:t xml:space="preserve">и градостроительства Ненецкого автономного округа 26.08.2026 обратилось общество с ограниченной ответственностью </w:t>
      </w:r>
      <w:r>
        <w:rPr>
          <w:rFonts w:ascii="XO Thames" w:hAnsi="XO Thames"/>
          <w:spacing w:val="5"/>
          <w:sz w:val="26"/>
        </w:rPr>
        <w:t xml:space="preserve">«ЛУКОЙЛ-ПЕРМЬ»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(далее –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«ЛУКОЙЛ-ПЕРМЬ», общество) </w:t>
      </w:r>
      <w:r>
        <w:rPr>
          <w:rFonts w:ascii="XO Thames" w:hAnsi="XO Thames"/>
          <w:spacing w:val="5"/>
          <w:sz w:val="26"/>
        </w:rPr>
        <w:t>с ходатайством о переводе 5 земельных участков в целях недропользования из категории земель сельскохозяйственного назначения в категорию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(далее – земли промышленности):</w:t>
      </w:r>
    </w:p>
    <w:p w14:paraId="0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1) кадастровый номер 83:00:070003:6084, площадь 6 140, кв. м, местоположение: Российская Федерация, 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 и Ко»;</w:t>
      </w:r>
    </w:p>
    <w:p w14:paraId="0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2) кадастровый номер 83:00:070003:6085, площадь 5 616 кв. м, местоположение: Российская Федерация, 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 и Ко»;</w:t>
      </w:r>
    </w:p>
    <w:p w14:paraId="0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3) кадастровый номер 83:00:070003:6086, площадь 9 594 кв. м, местоположение: Российская Федерация, 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 и Ко»;</w:t>
      </w:r>
    </w:p>
    <w:p w14:paraId="0C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4) кадастровый номер 83:00:070003:6087, площадь 2 231 кв. м, местоположение: Российская Федерация, 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 и Ко»;</w:t>
      </w:r>
    </w:p>
    <w:p w14:paraId="0D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5) кадастровый номер 83:00:070003:6088, площадь 1 498 кв. м, местоположение: Российская Федерация, 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«Ижемский оленевод и Ко».</w:t>
      </w:r>
    </w:p>
    <w:p w14:paraId="0E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Полномочия Макаровой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Е.В. как представителя </w:t>
      </w: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на момент подписания ходатайства подтверждены.</w:t>
      </w:r>
    </w:p>
    <w:p w14:paraId="0F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Указанные земельные участки образованы из земельного участка </w:t>
      </w:r>
      <w:r>
        <w:rPr>
          <w:rFonts w:ascii="XO Thames" w:hAnsi="XO Thames"/>
          <w:spacing w:val="5"/>
          <w:sz w:val="26"/>
        </w:rPr>
        <w:t>с кадастровым номером 83:00:070003:3641, арендатором которого является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«Ижемский оленевод и Ко». На основании распоряжения Департамента имущественных, земельных отношений и градостроительства Ненецкого автономного округа от 27.04.2026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586 «О предварительном согласовании предоставления земельных участков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«ЛУКОЙЛ-ПЕРМЬ» общей площадью 25 088 кв. м.» (далее – распоряжение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586) в соответствии с подпунктом 20 пункта 2 статьи 39.6, пунктом 16 статьи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39.15 Земельного кодекса </w:t>
      </w:r>
      <w:r>
        <w:rPr>
          <w:rFonts w:ascii="XO Thames" w:hAnsi="XO Thames"/>
          <w:spacing w:val="5"/>
          <w:sz w:val="26"/>
        </w:rPr>
        <w:t>Российской Федерации указанные земельные участки подлежат предоставлению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в аренду без проведения торгов по виду разрешенного использования «Разведка и добыча полезных ископаемых»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под строительство эксплуатационных скважин куста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112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Западно-Командиршорского месторождения.</w:t>
      </w:r>
    </w:p>
    <w:p w14:paraId="10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Для этих целей </w:t>
      </w:r>
      <w:r>
        <w:rPr>
          <w:rFonts w:ascii="XO Thames" w:hAnsi="XO Thames"/>
          <w:spacing w:val="5"/>
          <w:sz w:val="26"/>
        </w:rPr>
        <w:t>ООО «ЛУКОЙЛ-ПЕРМЬ» обладает лицензией на пользование недрами НРМ 021765 НЭ.</w:t>
      </w:r>
    </w:p>
    <w:p w14:paraId="11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В соответствии с пунктом 5 части 4 статьи 2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172-ФЗ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в целях принятия решения о переводе земельного участка </w:t>
      </w:r>
      <w:r>
        <w:rPr>
          <w:rFonts w:ascii="XO Thames" w:hAnsi="XO Thames"/>
          <w:spacing w:val="5"/>
          <w:sz w:val="26"/>
        </w:rPr>
        <w:t>из состава земель одной категории в другую правообладатель такого земельного участка должен выразить согласие на его перевод.</w:t>
      </w:r>
    </w:p>
    <w:p w14:paraId="12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Земельные участки с кадастровыми номерами 83:00:070003:6084, 83:00:070003:6085, 83:00:070003:6086, 83:00:070003:6087 </w:t>
      </w:r>
      <w:r>
        <w:rPr>
          <w:rFonts w:ascii="XO Thames" w:hAnsi="XO Thames"/>
          <w:spacing w:val="5"/>
          <w:sz w:val="26"/>
        </w:rPr>
        <w:t>и 83:00:070003:6088 образованы в соответствии с распоряжением №</w:t>
      </w:r>
      <w:r>
        <w:rPr>
          <w:rFonts w:ascii="XO Thames" w:hAnsi="XO Thames"/>
          <w:spacing w:val="5"/>
          <w:sz w:val="26"/>
        </w:rPr>
        <w:t> 5</w:t>
      </w:r>
      <w:r>
        <w:rPr>
          <w:rFonts w:ascii="XO Thames" w:hAnsi="XO Thames"/>
          <w:spacing w:val="5"/>
          <w:sz w:val="26"/>
        </w:rPr>
        <w:t xml:space="preserve">86 из земельного участка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с кадастровым номером 83:00:070003:3641, арендатором которого является СПК</w:t>
      </w:r>
      <w:r>
        <w:rPr>
          <w:rFonts w:ascii="XO Thames" w:hAnsi="XO Thames"/>
          <w:spacing w:val="5"/>
          <w:sz w:val="26"/>
        </w:rPr>
        <w:t> »Ижемский оленевод и Ко»</w:t>
      </w:r>
      <w:r>
        <w:rPr>
          <w:rFonts w:ascii="XO Thames" w:hAnsi="XO Thames"/>
          <w:spacing w:val="5"/>
          <w:sz w:val="26"/>
        </w:rPr>
        <w:t xml:space="preserve">. Согласие кооператива на перевод выражено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в заявлении, подписанном председателем кооператива.</w:t>
      </w:r>
    </w:p>
    <w:p w14:paraId="13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Согласие на перевод не влечет отчуждения земельных участков.</w:t>
      </w:r>
    </w:p>
    <w:p w14:paraId="14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>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«ЛУКОЙЛ-ПЕРМЬ» об их предоставлении </w:t>
      </w:r>
      <w:r>
        <w:rPr>
          <w:rFonts w:ascii="XO Thames" w:hAnsi="XO Thames"/>
          <w:spacing w:val="5"/>
          <w:sz w:val="26"/>
        </w:rPr>
        <w:t xml:space="preserve">в аренду без проведения торгов в соответствии со статьей 39.17 Земельного кодекса Российской Федерации </w:t>
      </w:r>
      <w:r>
        <w:rPr>
          <w:rFonts w:ascii="XO Thames" w:hAnsi="XO Thames"/>
          <w:spacing w:val="5"/>
          <w:sz w:val="26"/>
        </w:rPr>
        <w:t>в адрес кооператива не обращался.</w:t>
      </w:r>
    </w:p>
    <w:p w14:paraId="15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При указанных обстоятельствах и на основании подпункта 6 </w:t>
      </w:r>
      <w:r>
        <w:rPr>
          <w:rFonts w:ascii="XO Thames" w:hAnsi="XO Thames"/>
          <w:spacing w:val="5"/>
          <w:sz w:val="26"/>
        </w:rPr>
        <w:t>пункта 12.2, пунктов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14.1–14.3 Устава СПК</w:t>
      </w:r>
      <w:r>
        <w:rPr>
          <w:rFonts w:ascii="XO Thames" w:hAnsi="XO Thames"/>
          <w:spacing w:val="5"/>
          <w:sz w:val="26"/>
        </w:rPr>
        <w:t> »Ижемский оленевод и Ко»</w:t>
      </w:r>
      <w:r>
        <w:rPr>
          <w:rFonts w:ascii="XO Thames" w:hAnsi="XO Thames"/>
          <w:spacing w:val="5"/>
          <w:sz w:val="26"/>
        </w:rPr>
        <w:t xml:space="preserve"> указанное согласие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на перевод может быть подписано председателем кооператива </w:t>
      </w:r>
      <w:r>
        <w:rPr>
          <w:rFonts w:ascii="XO Thames" w:hAnsi="XO Thames"/>
          <w:spacing w:val="5"/>
          <w:sz w:val="26"/>
        </w:rPr>
        <w:t>как исполнительным органом кооператива.</w:t>
      </w:r>
    </w:p>
    <w:p w14:paraId="16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Материалы «Проект рекультивации земельных участков </w:t>
      </w:r>
      <w:r>
        <w:rPr>
          <w:rFonts w:ascii="XO Thames" w:hAnsi="XO Thames"/>
          <w:spacing w:val="5"/>
          <w:sz w:val="26"/>
        </w:rPr>
        <w:t>по объекту «Строительство эксплуатационных скважин куста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112 Западно-Командиршорского месторождения в Ненецком автономном округе», расположенного по адресу: Российская Федерация, </w:t>
      </w:r>
      <w:r>
        <w:rPr>
          <w:rFonts w:ascii="XO Thames" w:hAnsi="XO Thames"/>
          <w:spacing w:val="5"/>
          <w:sz w:val="26"/>
        </w:rPr>
        <w:t>Ненецкий автономный округ, муниципальный район Заполярный район, земли СПК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«Ижемский оленевод и Ко», общей площадью 2,5088 га» </w:t>
      </w:r>
      <w:r>
        <w:rPr>
          <w:rFonts w:ascii="XO Thames" w:hAnsi="XO Thames"/>
          <w:spacing w:val="5"/>
          <w:sz w:val="26"/>
        </w:rPr>
        <w:t xml:space="preserve">в соответствии с пунктом 19 Правил проведения рекультивации </w:t>
      </w:r>
      <w:r>
        <w:rPr>
          <w:rFonts w:ascii="XO Thames" w:hAnsi="XO Thames"/>
          <w:spacing w:val="5"/>
          <w:sz w:val="26"/>
        </w:rPr>
        <w:t>и консервации земель (утверждены постановлением Правительства Российской Федерации от 29.05.2025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781), предусматривающие восстановление испрошенных к переводу земельных участков, согласованы письмом Департамента имущественных, земельных отношений и градостроительства Ненецкого автономного округа от 18.08.2026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4480.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На основании частей 4 и 4.1 статьи 49 Градостроительного кодекса </w:t>
      </w:r>
      <w:r>
        <w:rPr>
          <w:rFonts w:ascii="XO Thames" w:hAnsi="XO Thames"/>
          <w:spacing w:val="5"/>
          <w:sz w:val="26"/>
        </w:rPr>
        <w:t xml:space="preserve">Российской Федерации проектная документация, необходимая </w:t>
      </w:r>
      <w:r>
        <w:rPr>
          <w:rFonts w:ascii="XO Thames" w:hAnsi="XO Thames"/>
          <w:spacing w:val="5"/>
          <w:sz w:val="26"/>
        </w:rPr>
        <w:t>для строительства эксплуатационных скважин куста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 xml:space="preserve">112 </w:t>
      </w:r>
      <w:r>
        <w:rPr>
          <w:rFonts w:ascii="XO Thames" w:hAnsi="XO Thames"/>
          <w:spacing w:val="5"/>
          <w:sz w:val="26"/>
        </w:rPr>
        <w:t>Западно-Командиршорского месторождения, будет предметом государственной экспертизы, проводимой на федеральном уровне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ФАУ «Главгосэкспертиза России», условием проведения которой является наличие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у ООО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«ЛУКОЙЛ-ПЕРМЬ» статуса правообладателя земельных участков.</w:t>
      </w:r>
    </w:p>
    <w:p w14:paraId="17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Все испрашиваемые к переводу земельные участки находятся </w:t>
      </w:r>
      <w:r>
        <w:rPr>
          <w:rFonts w:ascii="XO Thames" w:hAnsi="XO Thames"/>
          <w:spacing w:val="5"/>
          <w:sz w:val="26"/>
        </w:rPr>
        <w:t xml:space="preserve">за пределами территорий традиционного природопользования коренных малочисленных народов Севера федерального, регионального </w:t>
      </w:r>
      <w:r>
        <w:rPr>
          <w:rFonts w:ascii="XO Thames" w:hAnsi="XO Thames"/>
          <w:spacing w:val="5"/>
          <w:sz w:val="26"/>
        </w:rPr>
        <w:t>и местного значения.</w:t>
      </w:r>
    </w:p>
    <w:p w14:paraId="18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Законопроект согласован Департаментом внутренней политики Ненецкого автономного округа и рассмотрен на заседании общественного совета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при</w:t>
      </w:r>
      <w:r>
        <w:rPr>
          <w:rFonts w:ascii="XO Thames" w:hAnsi="XO Thames"/>
          <w:spacing w:val="5"/>
          <w:sz w:val="26"/>
        </w:rPr>
        <w:t xml:space="preserve"> Департаменте имущественных, земельных отношений и градостроительства Ненецкого автономного округа</w:t>
      </w:r>
      <w:r>
        <w:rPr>
          <w:rFonts w:ascii="XO Thames" w:hAnsi="XO Thames"/>
          <w:spacing w:val="5"/>
          <w:sz w:val="26"/>
        </w:rPr>
        <w:t>.</w:t>
      </w:r>
    </w:p>
    <w:p w14:paraId="19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По результатам рассмотрения ходатайства исполнительным органом субъекта Российской Федерации принимается акт о переводе земель или земельных участков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в составе таких земель из одной категории в другую либо акт об отказе в переводе земель или земельных участков в составе таких земель из одной категории в другую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с учетом особенностей, предусмотренных статьей 3 Федерального закона </w:t>
      </w:r>
      <w:r>
        <w:rPr>
          <w:rFonts w:ascii="XO Thames" w:hAnsi="XO Thames"/>
          <w:spacing w:val="5"/>
          <w:sz w:val="26"/>
        </w:rPr>
        <w:t>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172-ФЗ.</w:t>
      </w:r>
    </w:p>
    <w:p w14:paraId="1A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Акт о переводе земель или земельных участков в отношении земель сельскохозяйственного назначения или земельных участков </w:t>
      </w:r>
      <w:r>
        <w:rPr>
          <w:rFonts w:ascii="XO Thames" w:hAnsi="XO Thames"/>
          <w:spacing w:val="5"/>
          <w:sz w:val="26"/>
        </w:rPr>
        <w:t xml:space="preserve">в составе таких земель,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 xml:space="preserve">за исключением земель, находящихся </w:t>
      </w:r>
      <w:r>
        <w:rPr>
          <w:rFonts w:ascii="XO Thames" w:hAnsi="XO Thames"/>
          <w:spacing w:val="5"/>
          <w:sz w:val="26"/>
        </w:rPr>
        <w:t xml:space="preserve">в федеральной собственности, принимается исполнительным органом субъекта Российской Федерации в соответствии с законом субъекта Российской Федерации, предусматривающим перевод земель сельскохозяйственного назначения или земельных участков в составе таких земель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из одной категории в другую (часть 9 статьи 3 Федерального закона №</w:t>
      </w:r>
      <w:r>
        <w:rPr>
          <w:rFonts w:ascii="XO Thames" w:hAnsi="XO Thames"/>
          <w:spacing w:val="5"/>
          <w:sz w:val="26"/>
        </w:rPr>
        <w:t> </w:t>
      </w:r>
      <w:r>
        <w:rPr>
          <w:rFonts w:ascii="XO Thames" w:hAnsi="XO Thames"/>
          <w:spacing w:val="5"/>
          <w:sz w:val="26"/>
        </w:rPr>
        <w:t>172-ФЗ).</w:t>
      </w:r>
    </w:p>
    <w:p w14:paraId="1B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Принятие рассматриваемого законопроекта и его реализация </w:t>
      </w:r>
      <w:r>
        <w:rPr>
          <w:rFonts w:ascii="XO Thames" w:hAnsi="XO Thames"/>
          <w:spacing w:val="5"/>
          <w:sz w:val="26"/>
        </w:rPr>
        <w:t xml:space="preserve">не потребуют выделения средств из окружного бюджета. </w:t>
      </w:r>
    </w:p>
    <w:p w14:paraId="1C000000">
      <w:pPr>
        <w:pStyle w:val="Style_2"/>
        <w:widowControl w:val="0"/>
        <w:tabs>
          <w:tab w:leader="none" w:pos="708" w:val="clear"/>
          <w:tab w:leader="none" w:pos="900" w:val="left"/>
        </w:tabs>
        <w:ind w:firstLine="720"/>
        <w:jc w:val="both"/>
        <w:rPr>
          <w:rFonts w:ascii="XO Thames" w:hAnsi="XO Thames"/>
          <w:spacing w:val="5"/>
          <w:sz w:val="26"/>
        </w:rPr>
      </w:pPr>
      <w:r>
        <w:rPr>
          <w:rFonts w:ascii="XO Thames" w:hAnsi="XO Thames"/>
          <w:spacing w:val="5"/>
          <w:sz w:val="26"/>
        </w:rPr>
        <w:t xml:space="preserve">Проект закона не затрагивает вопросов осуществления предпринимательской </w:t>
      </w:r>
      <w:r>
        <w:rPr>
          <w:rFonts w:ascii="XO Thames" w:hAnsi="XO Thames"/>
          <w:spacing w:val="5"/>
          <w:sz w:val="26"/>
        </w:rPr>
        <w:br/>
      </w:r>
      <w:r>
        <w:rPr>
          <w:rFonts w:ascii="XO Thames" w:hAnsi="XO Thames"/>
          <w:spacing w:val="5"/>
          <w:sz w:val="26"/>
        </w:rPr>
        <w:t>и инвестиционной деятельности и не подлежит оценке регулирующего воздействия.</w:t>
      </w:r>
    </w:p>
    <w:sectPr>
      <w:headerReference r:id="rId1" w:type="default"/>
      <w:type w:val="nextPage"/>
      <w:pgSz w:h="16848" w:orient="portrait" w:w="11908"/>
      <w:pgMar w:bottom="1134" w:footer="0" w:gutter="0" w:header="709" w:left="1134" w:right="567" w:top="1134"/>
      <w:pgNumType w:fmt="decimal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sz w:val="22"/>
      </w:rPr>
    </w:pPr>
    <w:r>
      <w:rPr>
        <w:sz w:val="22"/>
      </w:rPr>
      <w:fldChar w:fldCharType="begin"/>
    </w:r>
    <w:r>
      <w:rPr>
        <w:sz w:val="22"/>
      </w:rPr>
      <w:instrText xml:space="preserve">PAGE </w:instrText>
    </w:r>
    <w:r>
      <w:rPr>
        <w:sz w:val="22"/>
      </w:rPr>
      <w:fldChar w:fldCharType="separate"/>
    </w:r>
    <w:r>
      <w:rPr>
        <w:sz w:val="22"/>
      </w:rPr>
      <w:t xml:space="preserve"> </w:t>
    </w:r>
    <w:r>
      <w:rPr>
        <w:sz w:val="22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0" w:before="0" w:line="240" w:lineRule="auto"/>
      <w:ind/>
      <w:jc w:val="left"/>
    </w:pPr>
    <w:rPr>
      <w:rFonts w:ascii="Times New Roman" w:hAnsi="Times New Roman"/>
      <w:color w:val="000000"/>
      <w:sz w:val="24"/>
    </w:rPr>
  </w:style>
  <w:style w:default="1" w:styleId="Style_2_ch" w:type="character">
    <w:name w:val="Normal"/>
    <w:link w:val="Style_2"/>
    <w:rPr>
      <w:rFonts w:ascii="Times New Roman" w:hAnsi="Times New Roman"/>
      <w:color w:val="000000"/>
      <w:sz w:val="24"/>
    </w:rPr>
  </w:style>
  <w:style w:styleId="Style_5" w:type="paragraph">
    <w:name w:val="toc 2"/>
    <w:next w:val="Style_2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Caption"/>
    <w:basedOn w:val="Style_2"/>
    <w:link w:val="Style_6_ch"/>
    <w:pPr>
      <w:widowControl w:val="1"/>
      <w:spacing w:after="120" w:before="120"/>
      <w:ind/>
    </w:pPr>
    <w:rPr>
      <w:rFonts w:ascii="PT Astra Serif" w:hAnsi="PT Astra Serif"/>
      <w:i w:val="1"/>
      <w:sz w:val="24"/>
    </w:rPr>
  </w:style>
  <w:style w:styleId="Style_6_ch" w:type="character">
    <w:name w:val="Caption"/>
    <w:basedOn w:val="Style_2_ch"/>
    <w:link w:val="Style_6"/>
    <w:rPr>
      <w:rFonts w:ascii="PT Astra Serif" w:hAnsi="PT Astra Serif"/>
      <w:i w:val="1"/>
      <w:sz w:val="24"/>
    </w:rPr>
  </w:style>
  <w:style w:styleId="Style_7" w:type="paragraph">
    <w:name w:val="toc 4"/>
    <w:next w:val="Style_2"/>
    <w:link w:val="Style_7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7_ch" w:type="character">
    <w:name w:val="toc 4"/>
    <w:link w:val="Style_7"/>
    <w:rPr>
      <w:rFonts w:ascii="XO Thames" w:hAnsi="XO Thames"/>
      <w:sz w:val="28"/>
    </w:rPr>
  </w:style>
  <w:style w:styleId="Style_8" w:type="paragraph">
    <w:name w:val="Footer"/>
    <w:basedOn w:val="Style_2"/>
    <w:link w:val="Style_8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8_ch" w:type="character">
    <w:name w:val="Footer"/>
    <w:basedOn w:val="Style_2_ch"/>
    <w:link w:val="Style_8"/>
  </w:style>
  <w:style w:styleId="Style_9" w:type="paragraph">
    <w:name w:val="toc 6"/>
    <w:next w:val="Style_2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2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Заголовок"/>
    <w:basedOn w:val="Style_2"/>
    <w:next w:val="Style_12"/>
    <w:link w:val="Style_11_ch"/>
    <w:pPr>
      <w:keepNext w:val="1"/>
      <w:widowControl w:val="1"/>
      <w:spacing w:after="120" w:before="240"/>
      <w:ind/>
    </w:pPr>
    <w:rPr>
      <w:rFonts w:ascii="PT Astra Serif" w:hAnsi="PT Astra Serif"/>
      <w:sz w:val="28"/>
    </w:rPr>
  </w:style>
  <w:style w:styleId="Style_11_ch" w:type="character">
    <w:name w:val="Заголовок"/>
    <w:basedOn w:val="Style_2_ch"/>
    <w:link w:val="Style_11"/>
    <w:rPr>
      <w:rFonts w:ascii="PT Astra Serif" w:hAnsi="PT Astra Serif"/>
      <w:sz w:val="28"/>
    </w:rPr>
  </w:style>
  <w:style w:styleId="Style_13" w:type="paragraph">
    <w:name w:val="Endnote"/>
    <w:link w:val="Style_13_ch"/>
    <w:pPr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5" w:type="paragraph">
    <w:name w:val="Основной текст с отступом Знак"/>
    <w:basedOn w:val="Style_16"/>
    <w:link w:val="Style_15_ch"/>
    <w:rPr>
      <w:rFonts w:ascii="Times New Roman" w:hAnsi="Times New Roman"/>
      <w:sz w:val="24"/>
    </w:rPr>
  </w:style>
  <w:style w:styleId="Style_15_ch" w:type="character">
    <w:name w:val="Основной текст с отступом Знак"/>
    <w:basedOn w:val="Style_16_ch"/>
    <w:link w:val="Style_15"/>
    <w:rPr>
      <w:rFonts w:ascii="Times New Roman" w:hAnsi="Times New Roman"/>
      <w:sz w:val="24"/>
    </w:rPr>
  </w:style>
  <w:style w:styleId="Style_17" w:type="paragraph">
    <w:name w:val="Колонтитул"/>
    <w:basedOn w:val="Style_2"/>
    <w:link w:val="Style_17_ch"/>
  </w:style>
  <w:style w:styleId="Style_17_ch" w:type="character">
    <w:name w:val="Колонтитул"/>
    <w:basedOn w:val="Style_2_ch"/>
    <w:link w:val="Style_17"/>
  </w:style>
  <w:style w:styleId="Style_18" w:type="paragraph">
    <w:name w:val="List"/>
    <w:basedOn w:val="Style_12"/>
    <w:link w:val="Style_18_ch"/>
    <w:rPr>
      <w:rFonts w:ascii="PT Astra Serif" w:hAnsi="PT Astra Serif"/>
    </w:rPr>
  </w:style>
  <w:style w:styleId="Style_18_ch" w:type="character">
    <w:name w:val="List"/>
    <w:basedOn w:val="Style_12_ch"/>
    <w:link w:val="Style_18"/>
    <w:rPr>
      <w:rFonts w:ascii="PT Astra Serif" w:hAnsi="PT Astra Serif"/>
    </w:rPr>
  </w:style>
  <w:style w:styleId="Style_4" w:type="paragraph">
    <w:name w:val="Body Text Indent"/>
    <w:basedOn w:val="Style_2"/>
    <w:link w:val="Style_4_ch"/>
    <w:pPr>
      <w:widowControl w:val="1"/>
      <w:spacing w:after="120" w:before="0"/>
      <w:ind w:left="283"/>
    </w:pPr>
  </w:style>
  <w:style w:styleId="Style_4_ch" w:type="character">
    <w:name w:val="Body Text Indent"/>
    <w:basedOn w:val="Style_2_ch"/>
    <w:link w:val="Style_4"/>
  </w:style>
  <w:style w:styleId="Style_19" w:type="paragraph">
    <w:name w:val="Верхний колонтитул Знак"/>
    <w:basedOn w:val="Style_16"/>
    <w:link w:val="Style_19_ch"/>
    <w:rPr>
      <w:rFonts w:ascii="Times New Roman" w:hAnsi="Times New Roman"/>
      <w:sz w:val="24"/>
    </w:rPr>
  </w:style>
  <w:style w:styleId="Style_19_ch" w:type="character">
    <w:name w:val="Верхний колонтитул Знак"/>
    <w:basedOn w:val="Style_16_ch"/>
    <w:link w:val="Style_19"/>
    <w:rPr>
      <w:rFonts w:ascii="Times New Roman" w:hAnsi="Times New Roman"/>
      <w:sz w:val="24"/>
    </w:rPr>
  </w:style>
  <w:style w:styleId="Style_20" w:type="paragraph">
    <w:name w:val="toc 3"/>
    <w:next w:val="Style_2"/>
    <w:link w:val="Style_20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20_ch" w:type="character">
    <w:name w:val="toc 3"/>
    <w:link w:val="Style_20"/>
    <w:rPr>
      <w:rFonts w:ascii="XO Thames" w:hAnsi="XO Thames"/>
      <w:sz w:val="28"/>
    </w:rPr>
  </w:style>
  <w:style w:styleId="Style_21" w:type="paragraph">
    <w:name w:val="msonormalcxspmiddle"/>
    <w:basedOn w:val="Style_2"/>
    <w:link w:val="Style_21_ch"/>
    <w:pPr>
      <w:widowControl w:val="1"/>
      <w:spacing w:afterAutospacing="on" w:beforeAutospacing="on"/>
      <w:ind/>
    </w:pPr>
  </w:style>
  <w:style w:styleId="Style_21_ch" w:type="character">
    <w:name w:val="msonormalcxspmiddle"/>
    <w:basedOn w:val="Style_2_ch"/>
    <w:link w:val="Style_21"/>
  </w:style>
  <w:style w:styleId="Style_12" w:type="paragraph">
    <w:name w:val="Body Text"/>
    <w:basedOn w:val="Style_2"/>
    <w:link w:val="Style_12_ch"/>
    <w:pPr>
      <w:widowControl w:val="1"/>
      <w:spacing w:after="140" w:before="0" w:line="276" w:lineRule="auto"/>
      <w:ind/>
    </w:pPr>
  </w:style>
  <w:style w:styleId="Style_12_ch" w:type="character">
    <w:name w:val="Body Text"/>
    <w:basedOn w:val="Style_2_ch"/>
    <w:link w:val="Style_12"/>
  </w:style>
  <w:style w:styleId="Style_22" w:type="paragraph">
    <w:name w:val="heading 5"/>
    <w:next w:val="Style_2"/>
    <w:link w:val="Style_22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2_ch" w:type="character">
    <w:name w:val="heading 5"/>
    <w:link w:val="Style_22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3" w:type="paragraph">
    <w:name w:val="heading 1"/>
    <w:next w:val="Style_2"/>
    <w:link w:val="Style_23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3_ch" w:type="character">
    <w:name w:val="heading 1"/>
    <w:link w:val="Style_23"/>
    <w:rPr>
      <w:rFonts w:ascii="XO Thames" w:hAnsi="XO Thames"/>
      <w:b w:val="1"/>
      <w:sz w:val="32"/>
    </w:rPr>
  </w:style>
  <w:style w:styleId="Style_24" w:type="paragraph">
    <w:name w:val="Нижний колонтитул Знак"/>
    <w:basedOn w:val="Style_16"/>
    <w:link w:val="Style_24_ch"/>
    <w:rPr>
      <w:rFonts w:ascii="Times New Roman" w:hAnsi="Times New Roman"/>
      <w:sz w:val="24"/>
    </w:rPr>
  </w:style>
  <w:style w:styleId="Style_24_ch" w:type="character">
    <w:name w:val="Нижний колонтитул Знак"/>
    <w:basedOn w:val="Style_16_ch"/>
    <w:link w:val="Style_24"/>
    <w:rPr>
      <w:rFonts w:ascii="Times New Roman" w:hAnsi="Times New Roman"/>
      <w:sz w:val="24"/>
    </w:rPr>
  </w:style>
  <w:style w:styleId="Style_25" w:type="paragraph">
    <w:name w:val="Hyperlink"/>
    <w:link w:val="Style_25_ch"/>
    <w:rPr>
      <w:color w:val="0000FF"/>
      <w:u w:val="single"/>
    </w:rPr>
  </w:style>
  <w:style w:styleId="Style_25_ch" w:type="character">
    <w:name w:val="Hyperlink"/>
    <w:link w:val="Style_25"/>
    <w:rPr>
      <w:color w:val="0000FF"/>
      <w:u w:val="single"/>
    </w:rPr>
  </w:style>
  <w:style w:styleId="Style_26" w:type="paragraph">
    <w:name w:val="Footnote"/>
    <w:link w:val="Style_26_ch"/>
    <w:pPr>
      <w:ind w:firstLine="851" w:left="0"/>
      <w:jc w:val="both"/>
    </w:pPr>
    <w:rPr>
      <w:rFonts w:ascii="XO Thames" w:hAnsi="XO Thames"/>
      <w:sz w:val="22"/>
    </w:rPr>
  </w:style>
  <w:style w:styleId="Style_26_ch" w:type="character">
    <w:name w:val="Footnote"/>
    <w:link w:val="Style_26"/>
    <w:rPr>
      <w:rFonts w:ascii="XO Thames" w:hAnsi="XO Thames"/>
      <w:sz w:val="22"/>
    </w:rPr>
  </w:style>
  <w:style w:styleId="Style_27" w:type="paragraph">
    <w:name w:val="Balloon Text"/>
    <w:basedOn w:val="Style_2"/>
    <w:link w:val="Style_27_ch"/>
    <w:rPr>
      <w:rFonts w:ascii="Segoe UI" w:hAnsi="Segoe UI"/>
      <w:sz w:val="18"/>
    </w:rPr>
  </w:style>
  <w:style w:styleId="Style_27_ch" w:type="character">
    <w:name w:val="Balloon Text"/>
    <w:basedOn w:val="Style_2_ch"/>
    <w:link w:val="Style_27"/>
    <w:rPr>
      <w:rFonts w:ascii="Segoe UI" w:hAnsi="Segoe UI"/>
      <w:sz w:val="18"/>
    </w:rPr>
  </w:style>
  <w:style w:styleId="Style_28" w:type="paragraph">
    <w:name w:val="toc 1"/>
    <w:next w:val="Style_2"/>
    <w:link w:val="Style_28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8_ch" w:type="character">
    <w:name w:val="toc 1"/>
    <w:link w:val="Style_28"/>
    <w:rPr>
      <w:rFonts w:ascii="XO Thames" w:hAnsi="XO Thames"/>
      <w:b w:val="1"/>
      <w:sz w:val="28"/>
    </w:rPr>
  </w:style>
  <w:style w:styleId="Style_29" w:type="paragraph">
    <w:name w:val="Header and Footer"/>
    <w:link w:val="Style_29_ch"/>
    <w:pPr>
      <w:spacing w:line="240" w:lineRule="auto"/>
      <w:ind/>
      <w:jc w:val="both"/>
    </w:pPr>
    <w:rPr>
      <w:rFonts w:ascii="XO Thames" w:hAnsi="XO Thames"/>
      <w:sz w:val="28"/>
    </w:rPr>
  </w:style>
  <w:style w:styleId="Style_29_ch" w:type="character">
    <w:name w:val="Header and Footer"/>
    <w:link w:val="Style_29"/>
    <w:rPr>
      <w:rFonts w:ascii="XO Thames" w:hAnsi="XO Thames"/>
      <w:sz w:val="28"/>
    </w:rPr>
  </w:style>
  <w:style w:styleId="Style_30" w:type="paragraph">
    <w:name w:val="toc 9"/>
    <w:next w:val="Style_2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toc 8"/>
    <w:next w:val="Style_2"/>
    <w:link w:val="Style_31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1_ch" w:type="character">
    <w:name w:val="toc 8"/>
    <w:link w:val="Style_31"/>
    <w:rPr>
      <w:rFonts w:ascii="XO Thames" w:hAnsi="XO Thames"/>
      <w:sz w:val="28"/>
    </w:rPr>
  </w:style>
  <w:style w:styleId="Style_32" w:type="paragraph">
    <w:name w:val="Указатель"/>
    <w:basedOn w:val="Style_2"/>
    <w:link w:val="Style_32_ch"/>
    <w:rPr>
      <w:rFonts w:ascii="PT Astra Serif" w:hAnsi="PT Astra Serif"/>
    </w:rPr>
  </w:style>
  <w:style w:styleId="Style_32_ch" w:type="character">
    <w:name w:val="Указатель"/>
    <w:basedOn w:val="Style_2_ch"/>
    <w:link w:val="Style_32"/>
    <w:rPr>
      <w:rFonts w:ascii="PT Astra Serif" w:hAnsi="PT Astra Serif"/>
    </w:rPr>
  </w:style>
  <w:style w:styleId="Style_33" w:type="paragraph">
    <w:name w:val="Body Text Indent 2"/>
    <w:basedOn w:val="Style_2"/>
    <w:link w:val="Style_33_ch"/>
    <w:pPr>
      <w:widowControl w:val="1"/>
      <w:spacing w:after="120" w:before="0" w:line="480" w:lineRule="auto"/>
      <w:ind w:left="283"/>
    </w:pPr>
  </w:style>
  <w:style w:styleId="Style_33_ch" w:type="character">
    <w:name w:val="Body Text Indent 2"/>
    <w:basedOn w:val="Style_2_ch"/>
    <w:link w:val="Style_33"/>
  </w:style>
  <w:style w:styleId="Style_34" w:type="paragraph">
    <w:name w:val="toc 5"/>
    <w:next w:val="Style_2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1" w:type="paragraph">
    <w:name w:val="Header"/>
    <w:basedOn w:val="Style_2"/>
    <w:link w:val="Style_1_ch"/>
    <w:pPr>
      <w:widowControl w:val="1"/>
      <w:tabs>
        <w:tab w:leader="none" w:pos="708" w:val="clear"/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3" w:type="paragraph">
    <w:name w:val="msonormalcxsplast"/>
    <w:basedOn w:val="Style_2"/>
    <w:link w:val="Style_3_ch"/>
    <w:pPr>
      <w:widowControl w:val="1"/>
      <w:spacing w:afterAutospacing="on" w:beforeAutospacing="on"/>
      <w:ind/>
    </w:pPr>
  </w:style>
  <w:style w:styleId="Style_3_ch" w:type="character">
    <w:name w:val="msonormalcxsplast"/>
    <w:basedOn w:val="Style_2_ch"/>
    <w:link w:val="Style_3"/>
  </w:style>
  <w:style w:styleId="Style_35" w:type="paragraph">
    <w:name w:val="ConsPlusNormal"/>
    <w:link w:val="Style_35_ch"/>
    <w:pPr>
      <w:widowControl w:val="0"/>
      <w:spacing w:after="0" w:before="0" w:line="240" w:lineRule="auto"/>
      <w:ind w:firstLine="720"/>
      <w:jc w:val="left"/>
    </w:pPr>
    <w:rPr>
      <w:rFonts w:ascii="Arial" w:hAnsi="Arial"/>
      <w:color w:val="000000"/>
      <w:sz w:val="20"/>
    </w:rPr>
  </w:style>
  <w:style w:styleId="Style_35_ch" w:type="character">
    <w:name w:val="ConsPlusNormal"/>
    <w:link w:val="Style_35"/>
    <w:rPr>
      <w:rFonts w:ascii="Arial" w:hAnsi="Arial"/>
      <w:color w:val="000000"/>
      <w:sz w:val="20"/>
    </w:rPr>
  </w:style>
  <w:style w:styleId="Style_36" w:type="paragraph">
    <w:name w:val="Subtitle"/>
    <w:next w:val="Style_2"/>
    <w:link w:val="Style_3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6_ch" w:type="character">
    <w:name w:val="Subtitle"/>
    <w:link w:val="Style_36"/>
    <w:rPr>
      <w:rFonts w:ascii="XO Thames" w:hAnsi="XO Thames"/>
      <w:i w:val="1"/>
      <w:sz w:val="24"/>
    </w:rPr>
  </w:style>
  <w:style w:styleId="Style_37" w:type="paragraph">
    <w:name w:val="Title"/>
    <w:next w:val="Style_2"/>
    <w:link w:val="Style_3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7_ch" w:type="character">
    <w:name w:val="Title"/>
    <w:link w:val="Style_37"/>
    <w:rPr>
      <w:rFonts w:ascii="XO Thames" w:hAnsi="XO Thames"/>
      <w:b w:val="1"/>
      <w:caps w:val="1"/>
      <w:sz w:val="40"/>
    </w:rPr>
  </w:style>
  <w:style w:styleId="Style_38" w:type="paragraph">
    <w:name w:val="heading 4"/>
    <w:next w:val="Style_2"/>
    <w:link w:val="Style_3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8_ch" w:type="character">
    <w:name w:val="heading 4"/>
    <w:link w:val="Style_38"/>
    <w:rPr>
      <w:rFonts w:ascii="XO Thames" w:hAnsi="XO Thames"/>
      <w:b w:val="1"/>
      <w:sz w:val="24"/>
    </w:rPr>
  </w:style>
  <w:style w:styleId="Style_39" w:type="paragraph">
    <w:name w:val="heading 2"/>
    <w:next w:val="Style_2"/>
    <w:link w:val="Style_39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9_ch" w:type="character">
    <w:name w:val="heading 2"/>
    <w:link w:val="Style_39"/>
    <w:rPr>
      <w:rFonts w:ascii="XO Thames" w:hAnsi="XO Thames"/>
      <w:b w:val="1"/>
      <w:sz w:val="28"/>
    </w:rPr>
  </w:style>
  <w:style w:default="1" w:styleId="Style_40" w:type="table">
    <w:name w:val="Normal Table"/>
    <w:tblPr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"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</a:gradFill>
      </a:fillStyleLst>
      <a:lnStyleLst>
        <a:ln w="9525">
          <a:prstDash val="solid"/>
        </a:ln>
        <a:ln w="25400">
          <a:prstDash val="solid"/>
        </a:ln>
        <a:ln w="38100"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MyOffice-CoreFramework-Linux/38-1384.1107.10199.1019.1@18975027e3ee4b688e27426d4a78178cb841a344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2026-09-14T14:20:06Z</dcterms:created>
  <dcterms:modified xsi:type="dcterms:W3CDTF">2026-09-14T14:20:06Z</dcterms:modified>
</cp:coreProperties>
</file>