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spacing w:line="240" w:lineRule="auto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1"/>
          <w:sz w:val="26"/>
        </w:rPr>
        <w:t>Пояснительная записка</w:t>
      </w:r>
    </w:p>
    <w:p w14:paraId="03000000">
      <w:pPr>
        <w:pStyle w:val="Style_2"/>
        <w:widowControl w:val="1"/>
        <w:spacing w:line="240" w:lineRule="auto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1"/>
          <w:sz w:val="26"/>
        </w:rPr>
        <w:t>к проекту закона Ненецкого автономного округа</w:t>
      </w:r>
    </w:p>
    <w:p w14:paraId="04000000">
      <w:pPr>
        <w:pStyle w:val="Style_2"/>
        <w:widowControl w:val="1"/>
        <w:spacing w:line="240" w:lineRule="auto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1"/>
          <w:sz w:val="26"/>
        </w:rPr>
        <w:t>«О переводе земельных участков из категории земель сельскохозяйственного назначения в другую категорию земель»</w:t>
      </w:r>
    </w:p>
    <w:p w14:paraId="05000000">
      <w:pPr>
        <w:pStyle w:val="Style_2"/>
        <w:widowControl w:val="1"/>
        <w:spacing w:line="240" w:lineRule="auto"/>
        <w:ind/>
        <w:jc w:val="center"/>
        <w:rPr>
          <w:rFonts w:ascii="XO Thames" w:hAnsi="XO Thames"/>
          <w:b w:val="1"/>
          <w:sz w:val="26"/>
        </w:rPr>
      </w:pPr>
    </w:p>
    <w:p w14:paraId="06000000">
      <w:pPr>
        <w:pStyle w:val="Style_2"/>
        <w:widowControl w:val="1"/>
        <w:spacing w:line="240" w:lineRule="auto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0"/>
          <w:sz w:val="26"/>
        </w:rPr>
        <w:t>Субъект правотворческой инициативы:</w:t>
      </w:r>
      <w:r>
        <w:rPr>
          <w:rFonts w:ascii="XO Thames" w:hAnsi="XO Thames"/>
          <w:b w:val="0"/>
          <w:sz w:val="26"/>
        </w:rPr>
        <w:t xml:space="preserve"> губернатор </w:t>
      </w:r>
      <w:r>
        <w:rPr>
          <w:rFonts w:ascii="XO Thames" w:hAnsi="XO Thames"/>
          <w:b w:val="0"/>
          <w:sz w:val="26"/>
        </w:rPr>
        <w:t>Ненецкого автономного округа.</w:t>
      </w:r>
    </w:p>
    <w:p w14:paraId="07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b w:val="0"/>
          <w:sz w:val="26"/>
        </w:rPr>
        <w:t>Разработчик проекта:</w:t>
      </w:r>
      <w:r>
        <w:rPr>
          <w:rFonts w:ascii="XO Thames" w:hAnsi="XO Thames"/>
          <w:b w:val="0"/>
          <w:sz w:val="26"/>
        </w:rPr>
        <w:t xml:space="preserve"> </w:t>
      </w:r>
      <w:r>
        <w:rPr>
          <w:rFonts w:ascii="XO Thames" w:hAnsi="XO Thames"/>
          <w:b w:val="0"/>
          <w:spacing w:val="5"/>
          <w:sz w:val="26"/>
        </w:rPr>
        <w:t>Депа</w:t>
      </w:r>
      <w:r>
        <w:rPr>
          <w:rFonts w:ascii="XO Thames" w:hAnsi="XO Thames"/>
          <w:spacing w:val="5"/>
          <w:sz w:val="26"/>
        </w:rPr>
        <w:t xml:space="preserve">ртамент имущественных, земельных отношений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 градостроительства Ненецкого автономного округа.</w:t>
      </w:r>
    </w:p>
    <w:p w14:paraId="08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В соответствии с частью 1 статьи 3 Федерального закона </w:t>
      </w:r>
      <w:r>
        <w:rPr>
          <w:rFonts w:ascii="XO Thames" w:hAnsi="XO Thames"/>
          <w:spacing w:val="5"/>
          <w:sz w:val="26"/>
        </w:rPr>
        <w:t xml:space="preserve">от 21.12.2004 № 172-ФЗ «О переводе земель или земельных участков </w:t>
      </w:r>
      <w:r>
        <w:rPr>
          <w:rFonts w:ascii="XO Thames" w:hAnsi="XO Thames"/>
          <w:spacing w:val="5"/>
          <w:sz w:val="26"/>
        </w:rPr>
        <w:t xml:space="preserve">из одной категории в другую»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(далее – Федеральный закон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172-ФЗ) </w:t>
      </w:r>
      <w:r>
        <w:rPr>
          <w:rFonts w:ascii="XO Thames" w:hAnsi="XO Thames"/>
          <w:spacing w:val="5"/>
          <w:sz w:val="26"/>
        </w:rPr>
        <w:t xml:space="preserve">в адрес Департамента имущественных, земельных отношений </w:t>
      </w:r>
      <w:r>
        <w:rPr>
          <w:rFonts w:ascii="XO Thames" w:hAnsi="XO Thames"/>
          <w:spacing w:val="5"/>
          <w:sz w:val="26"/>
        </w:rPr>
        <w:t xml:space="preserve">и градостроительства Ненецкого автономного округа 14.08.2026 обратилось общество с ограниченной ответственностью </w:t>
      </w:r>
      <w:r>
        <w:rPr>
          <w:rFonts w:ascii="XO Thames" w:hAnsi="XO Thames"/>
          <w:spacing w:val="5"/>
          <w:sz w:val="26"/>
        </w:rPr>
        <w:t xml:space="preserve">«Башнефть-Полюс»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(далее –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«Башнефть-Полюс», общество) </w:t>
      </w:r>
      <w:r>
        <w:rPr>
          <w:rFonts w:ascii="XO Thames" w:hAnsi="XO Thames"/>
          <w:spacing w:val="5"/>
          <w:sz w:val="26"/>
        </w:rPr>
        <w:t>с ходатайством о переводе 10 земельных участков в целях недропользования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(далее – земли промышленности):</w:t>
      </w:r>
    </w:p>
    <w:p w14:paraId="09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1) кадастровый номер 83:00:070003:6091, площадь 114 кв. м, местоположение: Российская Федерация, Ненецкий автономный округ;</w:t>
      </w:r>
    </w:p>
    <w:p w14:paraId="0A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2) кадастровый номер 83:00:070003:6092, площадь 72 кв. м, местоположение: Российская Федерация, Ненецкий автономный округ;</w:t>
      </w:r>
    </w:p>
    <w:p w14:paraId="0B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3) кадастровый номер 83:00:070003:6093, площадь 56 кв. м, местоположение: Российская Федерация, Ненецкий автономный округ;</w:t>
      </w:r>
    </w:p>
    <w:p w14:paraId="0C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4) кадастровый номер 83:00:070003:6094, площадь 12 690 кв. м, местоположение: Российская Федерация, Ненецкий автономный округ;</w:t>
      </w:r>
    </w:p>
    <w:p w14:paraId="0D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5) кадастровый номер 83:00:070003:6095, площадь 208 кв. м, местоположение: Российская Федерация, Ненецкий автономный округ;</w:t>
      </w:r>
    </w:p>
    <w:p w14:paraId="0E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6) кадастровый номер 83:00:070003:6096, площадь 138 кв. м, местоположение: Российская Федерация, Ненецкий автономный округ;</w:t>
      </w:r>
    </w:p>
    <w:p w14:paraId="0F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7) кадастровый номер 83:00:070003:6097, площадь 121 кв. м, местоположение: Российская Федерация, Ненецкий автономный округ;</w:t>
      </w:r>
    </w:p>
    <w:p w14:paraId="10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8) кадастровый номер 83:00:070003:6098, площадь 139 кв. м, местоположение: Российская Федерация, Ненецкий автономный округ;</w:t>
      </w:r>
    </w:p>
    <w:p w14:paraId="11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9) кадастровый номер 83:00:080001:4723, площадь 1 411 кв. м, местоположение: Российская Федерация, Ненецкий автономный округ;</w:t>
      </w:r>
    </w:p>
    <w:p w14:paraId="12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10) кадастровый номер 83:00:080001:4724, площадь 3 275 кв. м, местоположение: Российская Федерация, Ненецкий автономный округ.</w:t>
      </w:r>
    </w:p>
    <w:p w14:paraId="13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Полномочия Ястребова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А.С. как представителя </w:t>
      </w:r>
      <w:r>
        <w:rPr>
          <w:rFonts w:ascii="XO Thames" w:hAnsi="XO Thames"/>
          <w:spacing w:val="5"/>
          <w:sz w:val="26"/>
        </w:rPr>
        <w:t>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«Башнефть-Полюс»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на момент подписания ходатайства подтверждены.</w:t>
      </w:r>
    </w:p>
    <w:p w14:paraId="14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Данные земельные участки на основании распоряжений Департамента имущественных, земельных отношений и градостроительства Ненецкого автономного округа: о</w:t>
      </w:r>
      <w:r>
        <w:rPr>
          <w:rFonts w:ascii="XO Thames" w:hAnsi="XO Thames"/>
          <w:spacing w:val="5"/>
          <w:sz w:val="26"/>
        </w:rPr>
        <w:t>т 13.04.2026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491 «О предварительном согласовании предоставления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«Башнефть-Полюс» земельных участков общей площадью 5 186 кв. м»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(далее – распоряжение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491), от 21.05.2026 </w:t>
      </w:r>
      <w:r>
        <w:rPr>
          <w:rFonts w:ascii="XO Thames" w:hAnsi="XO Thames"/>
          <w:spacing w:val="5"/>
          <w:sz w:val="26"/>
        </w:rPr>
        <w:t>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709 «О предварительном согласовании предоставления </w:t>
      </w:r>
      <w:r>
        <w:rPr>
          <w:rFonts w:ascii="XO Thames" w:hAnsi="XO Thames"/>
          <w:spacing w:val="5"/>
          <w:sz w:val="26"/>
        </w:rPr>
        <w:t>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«Башнефть-Полюс» земельных участков общей </w:t>
      </w:r>
      <w:r>
        <w:rPr>
          <w:rFonts w:ascii="XO Thames" w:hAnsi="XO Thames"/>
          <w:spacing w:val="5"/>
          <w:sz w:val="26"/>
        </w:rPr>
        <w:t>площадью 13 538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кв. м.» (далее – распоряжение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709) </w:t>
      </w:r>
      <w:r>
        <w:rPr>
          <w:rFonts w:ascii="XO Thames" w:hAnsi="XO Thames"/>
          <w:spacing w:val="5"/>
          <w:sz w:val="26"/>
        </w:rPr>
        <w:t>и в соответствии с подпунктом 20 пункта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2 статьи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39.6, пунктом 16 статьи 39.15 Земельного кодекса Российской Федерации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(далее – ЗК РФ) образованы для дальнейшего предоставления </w:t>
      </w:r>
      <w:r>
        <w:rPr>
          <w:rFonts w:ascii="XO Thames" w:hAnsi="XO Thames"/>
          <w:spacing w:val="5"/>
          <w:sz w:val="26"/>
        </w:rPr>
        <w:t>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«Башнефть-Полюс» в аренду без проведения торгов по виду разрешенного использования «Разведка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 добыча полезных ископаемых» для осуществления пользования недрами:</w:t>
      </w:r>
    </w:p>
    <w:p w14:paraId="15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- под строительство и эксплуатацию дороги автомобильной зимней (от точки примыкания в районе ДНС с УПСВ на нефтяном месторождении им.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А.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Титова до точки примыкания к дороге автомобильной зимней): земельные участки с кадастровыми номерами 83:00:080001:4723 и 83:00:080001:4724;</w:t>
      </w:r>
    </w:p>
    <w:p w14:paraId="16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- под строительство и эксплуатацию коридора коммуникаций </w:t>
      </w:r>
      <w:r>
        <w:rPr>
          <w:rFonts w:ascii="XO Thames" w:hAnsi="XO Thames"/>
          <w:spacing w:val="5"/>
          <w:sz w:val="26"/>
        </w:rPr>
        <w:t>на нефтяном месторождении им.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Р.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Требса (трубопровод, линия электропередачи, дорога автомобильная зимняя до скважины 9 ТРМ): земельные участки с кадастровыми номерами 83:00:070003:6091, 83:00:070003:6092, 83:00:070003:6093, 83:00:070003:6094, 83:00:070003:6095, 83:00:070003:6096, 83:00:070003:6097 </w:t>
      </w:r>
      <w:r>
        <w:rPr>
          <w:rFonts w:ascii="XO Thames" w:hAnsi="XO Thames"/>
          <w:spacing w:val="5"/>
          <w:sz w:val="26"/>
        </w:rPr>
        <w:t>и 83:00:070003:6098.</w:t>
      </w:r>
    </w:p>
    <w:p w14:paraId="17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Для этих целей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«Башнефть-Полюс» обладает лицензией </w:t>
      </w:r>
      <w:r>
        <w:rPr>
          <w:rFonts w:ascii="XO Thames" w:hAnsi="XO Thames"/>
          <w:spacing w:val="5"/>
          <w:sz w:val="26"/>
        </w:rPr>
        <w:t>на право пользования недрами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НРМ 15729 НР.</w:t>
      </w:r>
    </w:p>
    <w:p w14:paraId="18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В соответствии с пунктом 5 части 4 статьи 2 Федерального закона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172-ФЗ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для принятия решения о переводе земельного участка из состава земель одной категории в другую правообладатель такого земельного участка должен выразить согласие на его перевод.</w:t>
      </w:r>
    </w:p>
    <w:p w14:paraId="19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Земельные участки с кадастровыми номерами 83:00:080001:4723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 83:00:080001:4724 образованы в соответствии с распоряжением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491 из земельного участка с кадастровым номером 83:00:080001:91, арендатором которого является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«Дружба народов».</w:t>
      </w:r>
    </w:p>
    <w:p w14:paraId="1A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Иные испрошенные к переводу земельные участки образованы </w:t>
      </w:r>
      <w:r>
        <w:rPr>
          <w:rFonts w:ascii="XO Thames" w:hAnsi="XO Thames"/>
          <w:spacing w:val="5"/>
          <w:sz w:val="26"/>
        </w:rPr>
        <w:t>из участков, арендуемых СПК колхозом «Ижемский оленевод и Ко».</w:t>
      </w:r>
    </w:p>
    <w:p w14:paraId="1B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Так, земельные участки </w:t>
      </w:r>
      <w:r>
        <w:rPr>
          <w:rFonts w:ascii="XO Thames" w:hAnsi="XO Thames"/>
          <w:spacing w:val="5"/>
          <w:sz w:val="26"/>
        </w:rPr>
        <w:t>с кадастровыми номерами 83:00:070003:6091, 83:00:070003:6092 83:00:070003:6093 образованы из земельного участка 83:00:070003:1513, а земельные 83:00:070003:6094, 83:00:070003:6095, 83:00:070003:6096, 83:00:070003:6097 и 83:00:070003:6098 – из участка 83:00:070003:3642.</w:t>
      </w:r>
    </w:p>
    <w:p w14:paraId="1C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Согласие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«Дружба народов» на перевод выражено в письме от 07.04.2026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28. Аналогичное согласие от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«Ижемский оленевод» выражено в письме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от 12.08.2026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234. Согласие на перевод не влечет отчуждения земельных участков. </w:t>
      </w:r>
      <w:r>
        <w:rPr>
          <w:rFonts w:ascii="XO Thames" w:hAnsi="XO Thames"/>
          <w:spacing w:val="5"/>
          <w:sz w:val="26"/>
        </w:rPr>
        <w:t>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«Башнефть-Полюс» об их предоставлении в аренду без проведения торгов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в соответствии со статьей 39.17 ЗК РФ в адрес указанных кооперативов не обращалось. В соответствии </w:t>
      </w:r>
      <w:r>
        <w:rPr>
          <w:rFonts w:ascii="XO Thames" w:hAnsi="XO Thames"/>
          <w:spacing w:val="5"/>
          <w:sz w:val="26"/>
        </w:rPr>
        <w:t>с пунктами 12.1 и 12.3 Устава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«Дружба народов» указанное согласие на перевод может быть подписано председателем </w:t>
      </w:r>
      <w:r>
        <w:rPr>
          <w:rFonts w:ascii="XO Thames" w:hAnsi="XO Thames"/>
          <w:spacing w:val="5"/>
          <w:sz w:val="26"/>
        </w:rPr>
        <w:t>СПК</w:t>
      </w:r>
      <w:r>
        <w:rPr>
          <w:rFonts w:ascii="XO Thames" w:hAnsi="XO Thames"/>
          <w:spacing w:val="5"/>
          <w:sz w:val="26"/>
        </w:rPr>
        <w:t xml:space="preserve"> »Дружба народов»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как исполнительным органом кооператива. </w:t>
      </w:r>
    </w:p>
    <w:p w14:paraId="1D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Аналогичным образом соответствии с </w:t>
      </w:r>
      <w:r>
        <w:rPr>
          <w:rFonts w:ascii="XO Thames" w:hAnsi="XO Thames"/>
          <w:spacing w:val="5"/>
          <w:sz w:val="26"/>
        </w:rPr>
        <w:t>подпунктом 6 пункта 12.2, пунктами 14.1–14.3 Устава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«Ижемский оленевод» согласие на перевод может быть подписано председателем СПК</w:t>
      </w:r>
      <w:r>
        <w:rPr>
          <w:rFonts w:ascii="XO Thames" w:hAnsi="XO Thames"/>
          <w:spacing w:val="5"/>
          <w:sz w:val="26"/>
        </w:rPr>
        <w:t xml:space="preserve"> »Ижемский оленевод» </w:t>
      </w:r>
      <w:r>
        <w:rPr>
          <w:rFonts w:ascii="XO Thames" w:hAnsi="XO Thames"/>
          <w:spacing w:val="5"/>
          <w:sz w:val="26"/>
        </w:rPr>
        <w:t>как исполнительным органом кооператива.</w:t>
      </w:r>
    </w:p>
    <w:p w14:paraId="1E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Материалы «Проект рекультивации нарушенных земель </w:t>
      </w:r>
      <w:r>
        <w:rPr>
          <w:rFonts w:ascii="XO Thames" w:hAnsi="XO Thames"/>
          <w:spacing w:val="5"/>
          <w:sz w:val="26"/>
        </w:rPr>
        <w:t>под объектами обустройства месторождений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Башнефть-Полюс», общей площадью 1,8724 га»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в соответствии с пунктом 19 Правил проведения рекультивации и консервации земель (утверждены постановлением Правительства Российской Федерации от 29.05.2025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781), предусматривающие восстановление испрошенных к переводу земельных участков, согласованы письмом Департамента имущественных, земельных отношений и градостроительства Ненкцкого автономного округа от 03.08.2026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4223.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На основании частей 4 и 4.1 статьи 49 Градостроительного кодекса Российской Федерации проектная документация, необходимая для строительства и эксплуатации дороги автомобильной зимней </w:t>
      </w:r>
      <w:r>
        <w:rPr>
          <w:rFonts w:ascii="XO Thames" w:hAnsi="XO Thames"/>
          <w:spacing w:val="5"/>
          <w:sz w:val="26"/>
        </w:rPr>
        <w:t xml:space="preserve">(от точки примыкания в районе ДНС с УПСВ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на нефтяном месторождении им.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А.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Титова до точки примыкания к дороге автомобильной зимней) и для строительства и эксплуатации коридора коммуникаций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на нефтяном месторождении им.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Р.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Требса (трубопровод, линия электропередачи, дорога автомобильная зимняя до скважины 9 ТРМ) будет предметом государственной экспертизы, проводимой </w:t>
      </w:r>
      <w:r>
        <w:rPr>
          <w:rFonts w:ascii="XO Thames" w:hAnsi="XO Thames"/>
          <w:spacing w:val="5"/>
          <w:sz w:val="26"/>
        </w:rPr>
        <w:t>на федеральном уровне ФАУ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«Главгосэкспертиза России», условием проведения которой является наличие у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«Башнефть-Полюс» статуса правообладателя земельных участков.</w:t>
      </w:r>
    </w:p>
    <w:p w14:paraId="1F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Земельные участки с кадастровыми номерами 83:00:080001:4723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и 83:00:080001:4724 расположены в пределах территории традиционного природопользования коренных малочисленных народов Севера регионального значения (далее – ТТПП) «Дружба народов», образованной постановлением Администрации </w:t>
      </w:r>
      <w:r>
        <w:rPr>
          <w:rFonts w:ascii="XO Thames" w:hAnsi="XO Thames"/>
          <w:spacing w:val="5"/>
          <w:sz w:val="26"/>
        </w:rPr>
        <w:t>Ненецкого автономного округа от 21.01.2002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30, которым </w:t>
      </w:r>
      <w:r>
        <w:rPr>
          <w:rFonts w:ascii="XO Thames" w:hAnsi="XO Thames"/>
          <w:spacing w:val="5"/>
          <w:sz w:val="26"/>
        </w:rPr>
        <w:t xml:space="preserve">утверждено Положение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о ТТПП «Дружба народов».</w:t>
      </w:r>
    </w:p>
    <w:p w14:paraId="20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Нормы Положения о ТТПП</w:t>
      </w:r>
      <w:r>
        <w:rPr>
          <w:rFonts w:ascii="XO Thames" w:hAnsi="XO Thames"/>
          <w:spacing w:val="5"/>
          <w:sz w:val="26"/>
        </w:rPr>
        <w:t xml:space="preserve"> «Дружба народов» </w:t>
      </w:r>
      <w:r>
        <w:rPr>
          <w:rFonts w:ascii="XO Thames" w:hAnsi="XO Thames"/>
          <w:spacing w:val="5"/>
          <w:sz w:val="26"/>
        </w:rPr>
        <w:t>в совокупности с нормами пунктов 3.4–3.6 Положения о территориях традиционного природопользования коренных малочисленных народов Севера в Ненецком автономном округе (утверждено постановлением Администрации Ненецкого автономного округа от 29.12.2001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1025) не препятствуют переводу земельных участков с кадастровыми номерами 83:00:080001:4723 </w:t>
      </w:r>
      <w:r>
        <w:rPr>
          <w:rFonts w:ascii="XO Thames" w:hAnsi="XO Thames"/>
          <w:spacing w:val="5"/>
          <w:sz w:val="26"/>
        </w:rPr>
        <w:t>и 83:00:080001:4724 из категории земель сельскохозяйственного назначения в категорию земель промышленности.</w:t>
      </w:r>
    </w:p>
    <w:p w14:paraId="21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Земельные участки с кадастровыми номерами 83:00:070003:6091, 83:00:070003:6092, 83:00:070003:6093, 83:00:070003:6094, 83:00:070003:6095, 83:00:070003:6096, 83:00:070003:6097 </w:t>
      </w:r>
      <w:r>
        <w:rPr>
          <w:rFonts w:ascii="XO Thames" w:hAnsi="XO Thames"/>
          <w:spacing w:val="5"/>
          <w:sz w:val="26"/>
        </w:rPr>
        <w:t>и 83:00:070003:6098 расположены за пределами ТТПП федерального, регионального и местного значения.</w:t>
      </w:r>
    </w:p>
    <w:p w14:paraId="22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По результатам рассмотрения ходатайства исполнительным органом субъекта Российской Федерации принимается акт о переводе земель или земельных участков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в составе таких земель из одной категории в другую либо акт об отказе в переводе земель или земельных участков в составе таких земель из одной категории в другую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с учетом особенностей, предусмотренных статьей 3 Федерального закона </w:t>
      </w:r>
      <w:r>
        <w:rPr>
          <w:rFonts w:ascii="XO Thames" w:hAnsi="XO Thames"/>
          <w:spacing w:val="5"/>
          <w:sz w:val="26"/>
        </w:rPr>
        <w:t>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172-ФЗ.</w:t>
      </w:r>
    </w:p>
    <w:p w14:paraId="23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Акт о переводе земель или земельных участков в отношении земель сельскохозяйственного назначения или земельных участков </w:t>
      </w:r>
      <w:r>
        <w:rPr>
          <w:rFonts w:ascii="XO Thames" w:hAnsi="XO Thames"/>
          <w:spacing w:val="5"/>
          <w:sz w:val="26"/>
        </w:rPr>
        <w:t xml:space="preserve">в составе таких земель,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за исключением земель, находящихся </w:t>
      </w:r>
      <w:r>
        <w:rPr>
          <w:rFonts w:ascii="XO Thames" w:hAnsi="XO Thames"/>
          <w:spacing w:val="5"/>
          <w:sz w:val="26"/>
        </w:rPr>
        <w:t xml:space="preserve">в федеральной собственности, принимается исполнительным органом субъекта Российской Федерации в соответствии с законом субъекта Российской Федерации, предусматривающим перевод земель сельскохозяйственного назначения или земельных участков в составе таких земель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из одной категории в другую (часть 9 статьи 3 Федерального закона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172-ФЗ).</w:t>
      </w:r>
    </w:p>
    <w:p w14:paraId="24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Законопроект согласован Департаментом внутренней политики Ненецкого автономного округа и рассмотрен на заседании общественного совета при Департамента имущественных, земельных отношений и градостроительства Ненецкого автономного округа.</w:t>
      </w:r>
    </w:p>
    <w:p w14:paraId="25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Принятие законопроекта и его реализация не потребуют выделения средств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из окружного бюджета. </w:t>
      </w:r>
    </w:p>
    <w:p w14:paraId="26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Проект закона не затрагивает вопросов осуществления предпринимательской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 инвестиционной деятельности и не подлежит оценке регулирующего воздействия.</w:t>
      </w:r>
    </w:p>
    <w:sectPr>
      <w:headerReference r:id="rId1" w:type="default"/>
      <w:type w:val="nextPage"/>
      <w:pgSz w:h="16848" w:orient="portrait" w:w="11908"/>
      <w:pgMar w:bottom="1134" w:footer="0" w:gutter="0" w:header="709" w:left="1134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sz w:val="22"/>
      </w:rPr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Footer"/>
    <w:basedOn w:val="Style_2"/>
    <w:link w:val="Style_4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4_ch" w:type="character">
    <w:name w:val="Footer"/>
    <w:basedOn w:val="Style_2_ch"/>
    <w:link w:val="Style_4"/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Указатель"/>
    <w:basedOn w:val="Style_2"/>
    <w:link w:val="Style_7_ch"/>
    <w:rPr>
      <w:rFonts w:ascii="PT Astra Serif" w:hAnsi="PT Astra Serif"/>
    </w:rPr>
  </w:style>
  <w:style w:styleId="Style_7_ch" w:type="character">
    <w:name w:val="Указатель"/>
    <w:basedOn w:val="Style_2_ch"/>
    <w:link w:val="Style_7"/>
    <w:rPr>
      <w:rFonts w:ascii="PT Astra Serif" w:hAnsi="PT Astra Serif"/>
    </w:rPr>
  </w:style>
  <w:style w:styleId="Style_8" w:type="paragraph">
    <w:name w:val="toc 7"/>
    <w:next w:val="Style_2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Колонтитул"/>
    <w:basedOn w:val="Style_2"/>
    <w:link w:val="Style_9_ch"/>
  </w:style>
  <w:style w:styleId="Style_9_ch" w:type="character">
    <w:name w:val="Колонтитул"/>
    <w:basedOn w:val="Style_2_ch"/>
    <w:link w:val="Style_9"/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2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2"/>
    <w:link w:val="Style_12_ch"/>
    <w:rPr>
      <w:rFonts w:ascii="Segoe UI" w:hAnsi="Segoe UI"/>
      <w:sz w:val="18"/>
    </w:rPr>
  </w:style>
  <w:style w:styleId="Style_12_ch" w:type="character">
    <w:name w:val="Balloon Text"/>
    <w:basedOn w:val="Style_2_ch"/>
    <w:link w:val="Style_12"/>
    <w:rPr>
      <w:rFonts w:ascii="Segoe UI" w:hAnsi="Segoe UI"/>
      <w:sz w:val="18"/>
    </w:rPr>
  </w:style>
  <w:style w:styleId="Style_13" w:type="paragraph">
    <w:name w:val="Body Text Indent 2"/>
    <w:basedOn w:val="Style_2"/>
    <w:link w:val="Style_13_ch"/>
    <w:pPr>
      <w:widowControl w:val="1"/>
      <w:spacing w:after="120" w:before="0" w:line="480" w:lineRule="auto"/>
      <w:ind w:left="283"/>
    </w:pPr>
  </w:style>
  <w:style w:styleId="Style_13_ch" w:type="character">
    <w:name w:val="Body Text Indent 2"/>
    <w:basedOn w:val="Style_2_ch"/>
    <w:link w:val="Style_13"/>
  </w:style>
  <w:style w:styleId="Style_14" w:type="paragraph">
    <w:name w:val="List"/>
    <w:basedOn w:val="Style_15"/>
    <w:link w:val="Style_14_ch"/>
    <w:rPr>
      <w:rFonts w:ascii="PT Astra Serif" w:hAnsi="PT Astra Serif"/>
    </w:rPr>
  </w:style>
  <w:style w:styleId="Style_14_ch" w:type="character">
    <w:name w:val="List"/>
    <w:basedOn w:val="Style_15_ch"/>
    <w:link w:val="Style_14"/>
    <w:rPr>
      <w:rFonts w:ascii="PT Astra Serif" w:hAnsi="PT Astra Serif"/>
    </w:rPr>
  </w:style>
  <w:style w:styleId="Style_16" w:type="paragraph">
    <w:name w:val="msonormalcxspmiddle"/>
    <w:basedOn w:val="Style_2"/>
    <w:link w:val="Style_16_ch"/>
    <w:pPr>
      <w:widowControl w:val="1"/>
      <w:spacing w:afterAutospacing="on" w:beforeAutospacing="on"/>
      <w:ind/>
    </w:pPr>
  </w:style>
  <w:style w:styleId="Style_16_ch" w:type="character">
    <w:name w:val="msonormalcxspmiddle"/>
    <w:basedOn w:val="Style_2_ch"/>
    <w:link w:val="Style_16"/>
  </w:style>
  <w:style w:styleId="Style_17" w:type="paragraph">
    <w:name w:val="toc 3"/>
    <w:next w:val="Style_2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Заголовок"/>
    <w:basedOn w:val="Style_2"/>
    <w:next w:val="Style_15"/>
    <w:link w:val="Style_1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8_ch" w:type="character">
    <w:name w:val="Заголовок"/>
    <w:basedOn w:val="Style_2_ch"/>
    <w:link w:val="Style_18"/>
    <w:rPr>
      <w:rFonts w:ascii="PT Astra Serif" w:hAnsi="PT Astra Serif"/>
      <w:sz w:val="28"/>
    </w:rPr>
  </w:style>
  <w:style w:styleId="Style_15" w:type="paragraph">
    <w:name w:val="Body Text"/>
    <w:basedOn w:val="Style_2"/>
    <w:link w:val="Style_15_ch"/>
    <w:pPr>
      <w:widowControl w:val="1"/>
      <w:spacing w:after="140" w:before="0" w:line="276" w:lineRule="auto"/>
      <w:ind/>
    </w:pPr>
  </w:style>
  <w:style w:styleId="Style_15_ch" w:type="character">
    <w:name w:val="Body Text"/>
    <w:basedOn w:val="Style_2_ch"/>
    <w:link w:val="Style_15"/>
  </w:style>
  <w:style w:styleId="Style_19" w:type="paragraph">
    <w:name w:val="heading 5"/>
    <w:next w:val="Style_2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ConsPlusNormal"/>
    <w:link w:val="Style_20_ch"/>
    <w:pPr>
      <w:widowControl w:val="0"/>
      <w:spacing w:after="0" w:before="0" w:line="240" w:lineRule="auto"/>
      <w:ind w:firstLine="720"/>
      <w:jc w:val="left"/>
    </w:pPr>
    <w:rPr>
      <w:rFonts w:ascii="Arial" w:hAnsi="Arial"/>
      <w:color w:val="000000"/>
      <w:sz w:val="20"/>
    </w:rPr>
  </w:style>
  <w:style w:styleId="Style_20_ch" w:type="character">
    <w:name w:val="ConsPlusNormal"/>
    <w:link w:val="Style_20"/>
    <w:rPr>
      <w:rFonts w:ascii="Arial" w:hAnsi="Arial"/>
      <w:color w:val="000000"/>
      <w:sz w:val="20"/>
    </w:rPr>
  </w:style>
  <w:style w:styleId="Style_21" w:type="paragraph">
    <w:name w:val="heading 1"/>
    <w:next w:val="Style_2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2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6" w:type="paragraph">
    <w:name w:val="msonormalcxsplast"/>
    <w:basedOn w:val="Style_2"/>
    <w:link w:val="Style_26_ch"/>
    <w:pPr>
      <w:widowControl w:val="1"/>
      <w:spacing w:afterAutospacing="on" w:beforeAutospacing="on"/>
      <w:ind/>
    </w:pPr>
  </w:style>
  <w:style w:styleId="Style_26_ch" w:type="character">
    <w:name w:val="msonormalcxsplast"/>
    <w:basedOn w:val="Style_2_ch"/>
    <w:link w:val="Style_26"/>
  </w:style>
  <w:style w:styleId="Style_27" w:type="paragraph">
    <w:name w:val="toc 9"/>
    <w:next w:val="Style_2"/>
    <w:link w:val="Style_2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Основной текст с отступом Знак"/>
    <w:basedOn w:val="Style_29"/>
    <w:link w:val="Style_28_ch"/>
    <w:rPr>
      <w:rFonts w:ascii="Times New Roman" w:hAnsi="Times New Roman"/>
      <w:sz w:val="24"/>
    </w:rPr>
  </w:style>
  <w:style w:styleId="Style_28_ch" w:type="character">
    <w:name w:val="Основной текст с отступом Знак"/>
    <w:basedOn w:val="Style_29_ch"/>
    <w:link w:val="Style_28"/>
    <w:rPr>
      <w:rFonts w:ascii="Times New Roman" w:hAnsi="Times New Roman"/>
      <w:sz w:val="24"/>
    </w:rPr>
  </w:style>
  <w:style w:styleId="Style_30" w:type="paragraph">
    <w:name w:val="toc 8"/>
    <w:next w:val="Style_2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2"/>
    <w:link w:val="Style_3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Body Text Indent"/>
    <w:basedOn w:val="Style_2"/>
    <w:link w:val="Style_32_ch"/>
    <w:pPr>
      <w:widowControl w:val="1"/>
      <w:spacing w:after="120" w:before="0"/>
      <w:ind w:left="283"/>
    </w:pPr>
  </w:style>
  <w:style w:styleId="Style_32_ch" w:type="character">
    <w:name w:val="Body Text Indent"/>
    <w:basedOn w:val="Style_2_ch"/>
    <w:link w:val="Style_32"/>
  </w:style>
  <w:style w:styleId="Style_33" w:type="paragraph">
    <w:name w:val="Верхний колонтитул Знак"/>
    <w:basedOn w:val="Style_29"/>
    <w:link w:val="Style_33_ch"/>
    <w:rPr>
      <w:rFonts w:ascii="Times New Roman" w:hAnsi="Times New Roman"/>
      <w:sz w:val="24"/>
    </w:rPr>
  </w:style>
  <w:style w:styleId="Style_33_ch" w:type="character">
    <w:name w:val="Верхний колонтитул Знак"/>
    <w:basedOn w:val="Style_29_ch"/>
    <w:link w:val="Style_33"/>
    <w:rPr>
      <w:rFonts w:ascii="Times New Roman" w:hAnsi="Times New Roman"/>
      <w:sz w:val="24"/>
    </w:rPr>
  </w:style>
  <w:style w:styleId="Style_34" w:type="paragraph">
    <w:name w:val="Нижний колонтитул Знак"/>
    <w:basedOn w:val="Style_29"/>
    <w:link w:val="Style_34_ch"/>
    <w:rPr>
      <w:rFonts w:ascii="Times New Roman" w:hAnsi="Times New Roman"/>
      <w:sz w:val="24"/>
    </w:rPr>
  </w:style>
  <w:style w:styleId="Style_34_ch" w:type="character">
    <w:name w:val="Нижний колонтитул Знак"/>
    <w:basedOn w:val="Style_29_ch"/>
    <w:link w:val="Style_34"/>
    <w:rPr>
      <w:rFonts w:ascii="Times New Roman" w:hAnsi="Times New Roman"/>
      <w:sz w:val="24"/>
    </w:rPr>
  </w:style>
  <w:style w:styleId="Style_35" w:type="paragraph">
    <w:name w:val="Subtitle"/>
    <w:next w:val="Style_2"/>
    <w:link w:val="Style_35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5_ch" w:type="character">
    <w:name w:val="Subtitle"/>
    <w:link w:val="Style_35"/>
    <w:rPr>
      <w:rFonts w:ascii="XO Thames" w:hAnsi="XO Thames"/>
      <w:i w:val="1"/>
      <w:sz w:val="24"/>
    </w:rPr>
  </w:style>
  <w:style w:styleId="Style_36" w:type="paragraph">
    <w:name w:val="Caption"/>
    <w:basedOn w:val="Style_2"/>
    <w:link w:val="Style_36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6_ch" w:type="character">
    <w:name w:val="Caption"/>
    <w:basedOn w:val="Style_2_ch"/>
    <w:link w:val="Style_36"/>
    <w:rPr>
      <w:rFonts w:ascii="PT Astra Serif" w:hAnsi="PT Astra Serif"/>
      <w:i w:val="1"/>
      <w:sz w:val="24"/>
    </w:rPr>
  </w:style>
  <w:style w:styleId="Style_37" w:type="paragraph">
    <w:name w:val="Title"/>
    <w:next w:val="Style_2"/>
    <w:link w:val="Style_3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2"/>
    <w:link w:val="Style_3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9" w:type="paragraph">
    <w:name w:val="heading 2"/>
    <w:next w:val="Style_2"/>
    <w:link w:val="Style_3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default="1" w:styleId="Style_40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2026-09-14T13:52:48Z</dcterms:created>
  <dcterms:modified xsi:type="dcterms:W3CDTF">2026-09-14T13:52:48Z</dcterms:modified>
</cp:coreProperties>
</file>