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1" w:type="dxa"/>
        <w:tblLayout w:type="fixed"/>
        <w:tblLook w:val="04A0" w:firstRow="1" w:lastRow="0" w:firstColumn="1" w:lastColumn="0" w:noHBand="0" w:noVBand="1"/>
      </w:tblPr>
      <w:tblGrid>
        <w:gridCol w:w="4785"/>
        <w:gridCol w:w="4786"/>
      </w:tblGrid>
      <w:tr w:rsidR="00A16C96" w:rsidTr="000E367B">
        <w:tc>
          <w:tcPr>
            <w:tcW w:w="4785" w:type="dxa"/>
          </w:tcPr>
          <w:p w:rsidR="00A16C96" w:rsidRDefault="00A16C96">
            <w:pPr>
              <w:jc w:val="both"/>
              <w:rPr>
                <w:b/>
                <w:sz w:val="24"/>
              </w:rPr>
            </w:pPr>
            <w:bookmarkStart w:id="0" w:name="_GoBack"/>
            <w:bookmarkEnd w:id="0"/>
          </w:p>
        </w:tc>
        <w:tc>
          <w:tcPr>
            <w:tcW w:w="4786" w:type="dxa"/>
          </w:tcPr>
          <w:p w:rsidR="00A16C96" w:rsidRDefault="002145C7" w:rsidP="002145C7">
            <w:pPr>
              <w:jc w:val="right"/>
              <w:rPr>
                <w:sz w:val="24"/>
              </w:rPr>
            </w:pPr>
            <w:r>
              <w:rPr>
                <w:sz w:val="24"/>
              </w:rPr>
              <w:t xml:space="preserve">Проект № 182- </w:t>
            </w:r>
            <w:proofErr w:type="spellStart"/>
            <w:r>
              <w:rPr>
                <w:sz w:val="24"/>
              </w:rPr>
              <w:t>пр</w:t>
            </w:r>
            <w:proofErr w:type="spellEnd"/>
          </w:p>
        </w:tc>
      </w:tr>
    </w:tbl>
    <w:p w:rsidR="00A16C96" w:rsidRDefault="00A16C96">
      <w:pPr>
        <w:pStyle w:val="ac"/>
        <w:jc w:val="right"/>
        <w:outlineLvl w:val="0"/>
        <w:rPr>
          <w:b w:val="0"/>
        </w:rPr>
      </w:pPr>
    </w:p>
    <w:p w:rsidR="00A16C96" w:rsidRDefault="00A16C96">
      <w:pPr>
        <w:pStyle w:val="ad"/>
        <w:rPr>
          <w:rFonts w:ascii="Times New Roman" w:hAnsi="Times New Roman"/>
          <w:sz w:val="24"/>
        </w:rPr>
      </w:pPr>
    </w:p>
    <w:p w:rsidR="00A16C96" w:rsidRDefault="002145C7">
      <w:pPr>
        <w:pStyle w:val="ac"/>
        <w:spacing w:after="600"/>
        <w:ind w:left="0" w:firstLine="0"/>
        <w:outlineLvl w:val="0"/>
      </w:pPr>
      <w:r>
        <w:t>ЗАКОН НЕНЕЦКОГО АВТОНОМНОГО ОКРУГА</w:t>
      </w:r>
    </w:p>
    <w:p w:rsidR="00A16C96" w:rsidRDefault="002145C7">
      <w:pPr>
        <w:pStyle w:val="ac"/>
        <w:ind w:left="0" w:firstLine="0"/>
        <w:outlineLvl w:val="0"/>
        <w:rPr>
          <w:sz w:val="28"/>
        </w:rPr>
      </w:pPr>
      <w:r>
        <w:rPr>
          <w:sz w:val="28"/>
        </w:rPr>
        <w:t>Об обеспечении тишины и покоя граждан</w:t>
      </w:r>
    </w:p>
    <w:p w:rsidR="00A16C96" w:rsidRDefault="002145C7">
      <w:pPr>
        <w:pStyle w:val="ac"/>
        <w:spacing w:after="800"/>
        <w:ind w:left="0" w:firstLine="0"/>
        <w:outlineLvl w:val="0"/>
        <w:rPr>
          <w:sz w:val="28"/>
        </w:rPr>
      </w:pPr>
      <w:r>
        <w:rPr>
          <w:sz w:val="28"/>
        </w:rPr>
        <w:t>на территории Ненецкого автономного округа</w:t>
      </w:r>
    </w:p>
    <w:p w:rsidR="00A16C96" w:rsidRDefault="00A16C96">
      <w:pPr>
        <w:pStyle w:val="ad"/>
        <w:rPr>
          <w:rFonts w:ascii="Times New Roman" w:hAnsi="Times New Roman"/>
          <w:sz w:val="24"/>
        </w:rPr>
      </w:pPr>
    </w:p>
    <w:p w:rsidR="00A16C96" w:rsidRDefault="002145C7">
      <w:pPr>
        <w:spacing w:after="440"/>
        <w:jc w:val="both"/>
        <w:rPr>
          <w:sz w:val="24"/>
        </w:rPr>
      </w:pPr>
      <w:r>
        <w:rPr>
          <w:sz w:val="24"/>
        </w:rPr>
        <w:t xml:space="preserve">Для принятия в первом чтении                                              </w:t>
      </w:r>
      <w:proofErr w:type="gramStart"/>
      <w:r>
        <w:rPr>
          <w:sz w:val="24"/>
        </w:rPr>
        <w:t xml:space="preserve">   «</w:t>
      </w:r>
      <w:proofErr w:type="gramEnd"/>
      <w:r>
        <w:rPr>
          <w:sz w:val="24"/>
        </w:rPr>
        <w:t>____»__________ 2026 года</w:t>
      </w:r>
    </w:p>
    <w:p w:rsidR="00A16C96" w:rsidRDefault="002145C7">
      <w:pPr>
        <w:ind w:firstLine="709"/>
        <w:jc w:val="both"/>
        <w:rPr>
          <w:b/>
          <w:sz w:val="24"/>
        </w:rPr>
      </w:pPr>
      <w:r>
        <w:rPr>
          <w:sz w:val="24"/>
        </w:rPr>
        <w:t xml:space="preserve">Статья 1. </w:t>
      </w:r>
      <w:r>
        <w:rPr>
          <w:b/>
          <w:sz w:val="24"/>
        </w:rPr>
        <w:t>Предмет правового регулирования и сфера действия настоящего закона</w:t>
      </w:r>
    </w:p>
    <w:p w:rsidR="00A16C96" w:rsidRDefault="00A16C96">
      <w:pPr>
        <w:ind w:firstLine="709"/>
        <w:jc w:val="both"/>
        <w:rPr>
          <w:b/>
          <w:sz w:val="24"/>
        </w:rPr>
      </w:pPr>
    </w:p>
    <w:p w:rsidR="00A16C96" w:rsidRDefault="002145C7">
      <w:pPr>
        <w:pStyle w:val="a3"/>
        <w:widowControl w:val="0"/>
        <w:ind w:left="0" w:firstLine="709"/>
        <w:contextualSpacing w:val="0"/>
        <w:jc w:val="both"/>
        <w:rPr>
          <w:sz w:val="24"/>
        </w:rPr>
      </w:pPr>
      <w:r>
        <w:rPr>
          <w:sz w:val="24"/>
        </w:rPr>
        <w:t>Настоящий закон регулирует отдельные общественные отношения, связанные с обеспечением тишины и покоя граждан на территории Ненецкого автономного округа.</w:t>
      </w:r>
    </w:p>
    <w:p w:rsidR="00A16C96" w:rsidRDefault="00A16C96">
      <w:pPr>
        <w:ind w:firstLine="709"/>
        <w:jc w:val="both"/>
        <w:rPr>
          <w:sz w:val="24"/>
        </w:rPr>
      </w:pPr>
    </w:p>
    <w:p w:rsidR="00A16C96" w:rsidRDefault="002145C7">
      <w:pPr>
        <w:widowControl w:val="0"/>
        <w:ind w:firstLine="709"/>
        <w:jc w:val="both"/>
        <w:rPr>
          <w:sz w:val="24"/>
        </w:rPr>
      </w:pPr>
      <w:r>
        <w:rPr>
          <w:sz w:val="24"/>
        </w:rPr>
        <w:t xml:space="preserve">Статья 2. </w:t>
      </w:r>
      <w:r>
        <w:rPr>
          <w:b/>
          <w:sz w:val="24"/>
        </w:rPr>
        <w:t>Периоды времени, в которые не допускается нарушение тишины и покоя граждан</w:t>
      </w:r>
    </w:p>
    <w:p w:rsidR="00A16C96" w:rsidRDefault="00A16C96">
      <w:pPr>
        <w:widowControl w:val="0"/>
        <w:ind w:firstLine="709"/>
        <w:jc w:val="both"/>
        <w:rPr>
          <w:b/>
          <w:sz w:val="24"/>
        </w:rPr>
      </w:pPr>
    </w:p>
    <w:p w:rsidR="00A16C96" w:rsidRDefault="002145C7">
      <w:pPr>
        <w:pStyle w:val="ConsPlusNormal"/>
        <w:widowControl/>
        <w:ind w:firstLine="709"/>
        <w:jc w:val="both"/>
      </w:pPr>
      <w:r>
        <w:t>1. К периодам времени, в течение которых не допускается нарушение тишины и покоя граждан действиями, указанными в статье 4 настоящего закона, относятся:</w:t>
      </w:r>
    </w:p>
    <w:p w:rsidR="00A16C96" w:rsidRDefault="002145C7">
      <w:pPr>
        <w:pStyle w:val="ConsPlusNormal"/>
        <w:widowControl/>
        <w:ind w:firstLine="709"/>
        <w:jc w:val="both"/>
      </w:pPr>
      <w:r>
        <w:t>1) период с 23 часов 00 минут до 7 часов 00 минут местного времени в рабочие дни.</w:t>
      </w:r>
    </w:p>
    <w:p w:rsidR="00A16C96" w:rsidRDefault="002145C7">
      <w:pPr>
        <w:pStyle w:val="ConsPlusNormal"/>
        <w:widowControl/>
        <w:ind w:firstLine="709"/>
        <w:jc w:val="both"/>
      </w:pPr>
      <w:r>
        <w:t>К рабочим дням относятся:</w:t>
      </w:r>
    </w:p>
    <w:p w:rsidR="00A16C96" w:rsidRDefault="002145C7">
      <w:pPr>
        <w:pStyle w:val="ConsPlusNormal"/>
        <w:widowControl/>
        <w:ind w:firstLine="709"/>
        <w:jc w:val="both"/>
      </w:pPr>
      <w:r>
        <w:t>дни недели с понедельника по пятницу включительно, если эти дни не относятся к нерабочим праздничным дням или дням, на которые на основании федерального закона или нормативного правового акта Правительства Российской Федерации перенесены выходные дни;</w:t>
      </w:r>
    </w:p>
    <w:p w:rsidR="00A16C96" w:rsidRDefault="002145C7">
      <w:pPr>
        <w:pStyle w:val="ConsPlusNormal"/>
        <w:widowControl/>
        <w:ind w:firstLine="709"/>
        <w:jc w:val="both"/>
      </w:pPr>
      <w:r>
        <w:t>суббота и воскресенье, если эти дни являются рабочими днями вследствие переноса выходных дней на другие дни на основании федерального закона или нормативного правового акта Правительства Российской Федерации;</w:t>
      </w:r>
    </w:p>
    <w:p w:rsidR="00A16C96" w:rsidRDefault="002145C7">
      <w:pPr>
        <w:pStyle w:val="ConsPlusNormal"/>
        <w:widowControl/>
        <w:ind w:firstLine="709"/>
        <w:jc w:val="both"/>
      </w:pPr>
      <w:r>
        <w:t>2) период с 23 часов 00 минут до 10 часов 00 минут местного времени в выходные и нерабочие праздничные дни, предусмотренные частью первой статьи 112 Трудового кодекса Российской Федерации.</w:t>
      </w:r>
    </w:p>
    <w:p w:rsidR="00A16C96" w:rsidRDefault="002145C7">
      <w:pPr>
        <w:pStyle w:val="ConsPlusNormal"/>
        <w:widowControl/>
        <w:ind w:firstLine="709"/>
        <w:jc w:val="both"/>
      </w:pPr>
      <w:r>
        <w:t>К выходным дням относятся:</w:t>
      </w:r>
    </w:p>
    <w:p w:rsidR="00A16C96" w:rsidRDefault="002145C7">
      <w:pPr>
        <w:pStyle w:val="ConsPlusNormal"/>
        <w:widowControl/>
        <w:ind w:firstLine="709"/>
        <w:jc w:val="both"/>
      </w:pPr>
      <w:r>
        <w:t>суббота и воскресенье, если эти дни не являются рабочими днями вследствие переноса выходных дней на другие дни на основании федерального закона или нормативного правового акта Правительства Российской Федерации;</w:t>
      </w:r>
    </w:p>
    <w:p w:rsidR="00A16C96" w:rsidRDefault="002145C7">
      <w:pPr>
        <w:pStyle w:val="ConsPlusNormal"/>
        <w:widowControl/>
        <w:ind w:firstLine="709"/>
        <w:jc w:val="both"/>
      </w:pPr>
      <w:r>
        <w:t>дни недели с понедельника по пятницу включительно, если эти дни являются выходными днями вследствие переноса выходных дней на другие дни на основании федерального закона или нормативного правового акта Правительства Российской Федерации.</w:t>
      </w:r>
    </w:p>
    <w:p w:rsidR="002145C7" w:rsidRDefault="002145C7">
      <w:pPr>
        <w:pStyle w:val="ConsPlusNormal"/>
        <w:widowControl/>
        <w:ind w:firstLine="709"/>
        <w:jc w:val="both"/>
        <w:sectPr w:rsidR="002145C7">
          <w:pgSz w:w="11906" w:h="16838"/>
          <w:pgMar w:top="1134" w:right="1418" w:bottom="1134" w:left="1418" w:header="709" w:footer="709" w:gutter="0"/>
          <w:cols w:space="720"/>
        </w:sectPr>
      </w:pPr>
      <w:r>
        <w:t>2. К периоду времени, в течение которого не допускается нарушение тишины и покоя граждан действиями, указанными в пунктах 1, 2, 5 части 1 статьи 4 настоящего закона в местах, указанных в пункте 1 статьи 3 настоящего закона, дополнительно</w:t>
      </w:r>
    </w:p>
    <w:p w:rsidR="00A16C96" w:rsidRDefault="002145C7" w:rsidP="002145C7">
      <w:pPr>
        <w:pStyle w:val="ConsPlusNormal"/>
        <w:widowControl/>
        <w:jc w:val="both"/>
      </w:pPr>
      <w:r>
        <w:lastRenderedPageBreak/>
        <w:t xml:space="preserve">относится период с 13 часов 00 минут до 15 часов 00 минут местного времени </w:t>
      </w:r>
      <w:bookmarkStart w:id="1" w:name="_Hlk211367900"/>
      <w:r>
        <w:t>ежедневно</w:t>
      </w:r>
      <w:bookmarkEnd w:id="1"/>
      <w:r>
        <w:t>.</w:t>
      </w:r>
    </w:p>
    <w:p w:rsidR="00A16C96" w:rsidRDefault="00A16C96">
      <w:pPr>
        <w:pStyle w:val="ConsPlusNormal"/>
        <w:widowControl/>
        <w:ind w:firstLine="709"/>
        <w:jc w:val="both"/>
        <w:rPr>
          <w:b/>
        </w:rPr>
      </w:pPr>
    </w:p>
    <w:p w:rsidR="00A16C96" w:rsidRDefault="002145C7">
      <w:pPr>
        <w:pStyle w:val="ConsPlusNormal"/>
        <w:widowControl/>
        <w:ind w:firstLine="709"/>
        <w:jc w:val="both"/>
        <w:rPr>
          <w:b/>
        </w:rPr>
      </w:pPr>
      <w:r>
        <w:t>Статья 3.</w:t>
      </w:r>
      <w:r>
        <w:rPr>
          <w:b/>
        </w:rPr>
        <w:t xml:space="preserve"> Места, в которых обеспечиваются тишина и покой граждан</w:t>
      </w:r>
    </w:p>
    <w:p w:rsidR="00A16C96" w:rsidRDefault="00A16C96">
      <w:pPr>
        <w:pStyle w:val="ConsPlusNormal"/>
        <w:widowControl/>
        <w:ind w:firstLine="709"/>
        <w:jc w:val="both"/>
      </w:pPr>
    </w:p>
    <w:p w:rsidR="00A16C96" w:rsidRDefault="002145C7">
      <w:pPr>
        <w:pStyle w:val="ConsPlusNormal"/>
        <w:widowControl/>
        <w:ind w:firstLine="709"/>
        <w:jc w:val="both"/>
      </w:pPr>
      <w:r>
        <w:t>Местами, на которых обеспечиваются тишина и покой граждан являются:</w:t>
      </w:r>
    </w:p>
    <w:p w:rsidR="00A16C96" w:rsidRDefault="002145C7">
      <w:pPr>
        <w:widowControl w:val="0"/>
        <w:ind w:firstLine="709"/>
        <w:jc w:val="both"/>
        <w:rPr>
          <w:sz w:val="24"/>
        </w:rPr>
      </w:pPr>
      <w:r>
        <w:rPr>
          <w:sz w:val="24"/>
        </w:rPr>
        <w:t>1) жилые дома;</w:t>
      </w:r>
    </w:p>
    <w:p w:rsidR="00A16C96" w:rsidRDefault="002145C7">
      <w:pPr>
        <w:widowControl w:val="0"/>
        <w:ind w:firstLine="709"/>
        <w:jc w:val="both"/>
        <w:rPr>
          <w:sz w:val="24"/>
        </w:rPr>
      </w:pPr>
      <w:r>
        <w:rPr>
          <w:sz w:val="24"/>
        </w:rPr>
        <w:t>2) здания и территории медицинских организаций, оказывающих медицинскую помощь в стационарных условиях, гостиниц, интернатов для проживания обучающихся, организаций социального обслуживания граждан;</w:t>
      </w:r>
    </w:p>
    <w:p w:rsidR="00A16C96" w:rsidRDefault="002145C7">
      <w:pPr>
        <w:widowControl w:val="0"/>
        <w:ind w:firstLine="709"/>
        <w:jc w:val="both"/>
        <w:rPr>
          <w:sz w:val="24"/>
        </w:rPr>
      </w:pPr>
      <w:r>
        <w:rPr>
          <w:sz w:val="24"/>
        </w:rPr>
        <w:t>3) территории ведения гражданами садоводства или огородничества для собственных нужд;</w:t>
      </w:r>
    </w:p>
    <w:p w:rsidR="00A16C96" w:rsidRDefault="002145C7">
      <w:pPr>
        <w:widowControl w:val="0"/>
        <w:ind w:firstLine="709"/>
        <w:jc w:val="both"/>
        <w:rPr>
          <w:sz w:val="24"/>
        </w:rPr>
      </w:pPr>
      <w:r>
        <w:rPr>
          <w:sz w:val="24"/>
        </w:rPr>
        <w:t>4) жилые зоны, в том числе придомовые территории многоквартирных домов и индивидуальных жилых домов, стоянки автомобильного транспорта, детские и спортивные площадки, улицы (проезды, переулки и т.п.) и площади, находящиеся в пределах территории жилых зон населенных пунктов, определяемых в соответствии с Градостроительным кодексом Российской Федерации.</w:t>
      </w:r>
    </w:p>
    <w:p w:rsidR="00A16C96" w:rsidRDefault="00A16C96">
      <w:pPr>
        <w:ind w:firstLine="709"/>
        <w:jc w:val="both"/>
        <w:rPr>
          <w:sz w:val="24"/>
        </w:rPr>
      </w:pPr>
    </w:p>
    <w:p w:rsidR="00A16C96" w:rsidRDefault="002145C7">
      <w:pPr>
        <w:ind w:firstLine="709"/>
        <w:jc w:val="both"/>
        <w:rPr>
          <w:sz w:val="24"/>
        </w:rPr>
      </w:pPr>
      <w:r>
        <w:rPr>
          <w:sz w:val="24"/>
        </w:rPr>
        <w:t>Статья 4.</w:t>
      </w:r>
      <w:r>
        <w:rPr>
          <w:b/>
          <w:sz w:val="24"/>
        </w:rPr>
        <w:t xml:space="preserve"> Требования, обеспечивающие тишину и покой граждан</w:t>
      </w:r>
    </w:p>
    <w:p w:rsidR="00A16C96" w:rsidRDefault="00A16C96">
      <w:pPr>
        <w:ind w:firstLine="709"/>
        <w:jc w:val="both"/>
        <w:rPr>
          <w:b/>
          <w:sz w:val="24"/>
        </w:rPr>
      </w:pPr>
    </w:p>
    <w:p w:rsidR="00A16C96" w:rsidRDefault="002145C7">
      <w:pPr>
        <w:pStyle w:val="ConsPlusNormal"/>
        <w:widowControl/>
        <w:ind w:firstLine="709"/>
        <w:jc w:val="both"/>
      </w:pPr>
      <w:r>
        <w:t>1. Не допускается совершение следующих действий, влекущих нарушение тишины и покоя граждан в местах, указанных в статье 3 настоящего закона:</w:t>
      </w:r>
    </w:p>
    <w:p w:rsidR="00A16C96" w:rsidRDefault="002145C7">
      <w:pPr>
        <w:widowControl w:val="0"/>
        <w:ind w:firstLine="709"/>
        <w:jc w:val="both"/>
        <w:rPr>
          <w:sz w:val="24"/>
        </w:rPr>
      </w:pPr>
      <w:r>
        <w:rPr>
          <w:sz w:val="24"/>
        </w:rPr>
        <w:t xml:space="preserve">1)  использование телевизоров, радиоприемников, магнитофонов и других звуковоспроизводящих и звукоусиливающих устройств, в том числе установленных на транспортных средствах, в организациях общественного питания; </w:t>
      </w:r>
    </w:p>
    <w:p w:rsidR="00A16C96" w:rsidRDefault="002145C7">
      <w:pPr>
        <w:widowControl w:val="0"/>
        <w:ind w:firstLine="709"/>
        <w:jc w:val="both"/>
        <w:rPr>
          <w:sz w:val="24"/>
        </w:rPr>
      </w:pPr>
      <w:r>
        <w:rPr>
          <w:sz w:val="24"/>
        </w:rPr>
        <w:t>2) крики, стук, свист, пение, танцы, игра на музыкальных инструментах;</w:t>
      </w:r>
    </w:p>
    <w:p w:rsidR="00A16C96" w:rsidRDefault="002145C7">
      <w:pPr>
        <w:widowControl w:val="0"/>
        <w:ind w:firstLine="709"/>
        <w:jc w:val="both"/>
        <w:rPr>
          <w:sz w:val="24"/>
        </w:rPr>
      </w:pPr>
      <w:r>
        <w:rPr>
          <w:sz w:val="24"/>
        </w:rPr>
        <w:t>3) непринятие собственником, иным владельцем транспортного средства, лицом, использующим транспортные средства в силу исполнения своих служебных или трудовых обязанностей, в том числе на основании трудового или гражданско-правового договора с владельцами транспортных средств, мер по отключению звукового сигнала охранной сигнализации транспортного средства;</w:t>
      </w:r>
    </w:p>
    <w:p w:rsidR="00A16C96" w:rsidRDefault="002145C7">
      <w:pPr>
        <w:widowControl w:val="0"/>
        <w:ind w:firstLine="709"/>
        <w:jc w:val="both"/>
        <w:rPr>
          <w:sz w:val="24"/>
        </w:rPr>
      </w:pPr>
      <w:r>
        <w:rPr>
          <w:sz w:val="24"/>
        </w:rPr>
        <w:t>4) использование пиротехнических изделий;</w:t>
      </w:r>
    </w:p>
    <w:p w:rsidR="00A16C96" w:rsidRDefault="002145C7">
      <w:pPr>
        <w:widowControl w:val="0"/>
        <w:ind w:firstLine="709"/>
        <w:jc w:val="both"/>
        <w:rPr>
          <w:sz w:val="24"/>
        </w:rPr>
      </w:pPr>
      <w:r>
        <w:rPr>
          <w:sz w:val="24"/>
        </w:rPr>
        <w:t xml:space="preserve">5) </w:t>
      </w:r>
      <w:bookmarkStart w:id="2" w:name="_Hlk211367807"/>
      <w:r>
        <w:rPr>
          <w:sz w:val="24"/>
        </w:rPr>
        <w:t xml:space="preserve">проведение ремонтных работ; </w:t>
      </w:r>
    </w:p>
    <w:p w:rsidR="00A16C96" w:rsidRDefault="002145C7">
      <w:pPr>
        <w:widowControl w:val="0"/>
        <w:ind w:firstLine="709"/>
        <w:jc w:val="both"/>
        <w:rPr>
          <w:sz w:val="24"/>
        </w:rPr>
      </w:pPr>
      <w:r>
        <w:rPr>
          <w:sz w:val="24"/>
        </w:rPr>
        <w:t>6) проведение строительных, земляных, погрузочно-разгрузочных работ, иных работ с применением механических средств и (или) технических устройств</w:t>
      </w:r>
      <w:bookmarkEnd w:id="2"/>
      <w:r>
        <w:rPr>
          <w:sz w:val="24"/>
        </w:rPr>
        <w:t>.</w:t>
      </w:r>
    </w:p>
    <w:p w:rsidR="00A16C96" w:rsidRDefault="002145C7">
      <w:pPr>
        <w:widowControl w:val="0"/>
        <w:ind w:firstLine="709"/>
        <w:jc w:val="both"/>
        <w:rPr>
          <w:i/>
          <w:sz w:val="24"/>
        </w:rPr>
      </w:pPr>
      <w:r>
        <w:rPr>
          <w:sz w:val="24"/>
        </w:rPr>
        <w:t xml:space="preserve">2. Владельцы домашних животных и иные лица, под временным или постоянным надзором которых находятся домашние животные, обязаны принимать меры по прекращению лая, воя или другого шума, исходящего от домашнего животного, если непринятие таких мер влечет нарушение покоя граждан и тишины в местах, указанных в </w:t>
      </w:r>
      <w:r>
        <w:rPr>
          <w:sz w:val="24"/>
          <w:u w:color="000000"/>
        </w:rPr>
        <w:t>статье 3</w:t>
      </w:r>
      <w:r>
        <w:rPr>
          <w:sz w:val="24"/>
        </w:rPr>
        <w:t xml:space="preserve"> настоящего закона, и в периоды времени, указанные в части</w:t>
      </w:r>
      <w:r>
        <w:rPr>
          <w:sz w:val="24"/>
          <w:u w:color="000000"/>
        </w:rPr>
        <w:t xml:space="preserve"> 1 статьи 2</w:t>
      </w:r>
      <w:r>
        <w:rPr>
          <w:sz w:val="24"/>
        </w:rPr>
        <w:t xml:space="preserve"> настоящего закона. </w:t>
      </w:r>
    </w:p>
    <w:p w:rsidR="00A16C96" w:rsidRDefault="002145C7">
      <w:pPr>
        <w:widowControl w:val="0"/>
        <w:ind w:firstLine="709"/>
        <w:jc w:val="both"/>
        <w:rPr>
          <w:i/>
          <w:sz w:val="24"/>
        </w:rPr>
      </w:pPr>
      <w:r>
        <w:rPr>
          <w:sz w:val="24"/>
        </w:rPr>
        <w:t xml:space="preserve">3. Положения части 1 настоящей статьи не распространяются на: </w:t>
      </w:r>
    </w:p>
    <w:p w:rsidR="00A16C96" w:rsidRDefault="002145C7">
      <w:pPr>
        <w:ind w:firstLine="709"/>
        <w:jc w:val="both"/>
        <w:rPr>
          <w:sz w:val="24"/>
        </w:rPr>
      </w:pPr>
      <w:r>
        <w:rPr>
          <w:sz w:val="24"/>
        </w:rPr>
        <w:t>1) предупреждение, предотвращение и пресечение правонарушений и преступлений, предотвращение и ликвидацию последствий аварий, стихийных бедствий, иных чрезвычайных ситуаций природного и техногенного характера, тушение пожаров, оказание медицинской помощи, проведение спасательных и неотложных работ, необходимых для обеспечения безопасности граждан или функционирования объектов жизнеобеспечения и жизнедеятельности;</w:t>
      </w:r>
    </w:p>
    <w:p w:rsidR="00A16C96" w:rsidRDefault="002145C7">
      <w:pPr>
        <w:ind w:firstLine="709"/>
        <w:jc w:val="both"/>
        <w:rPr>
          <w:sz w:val="24"/>
        </w:rPr>
      </w:pPr>
      <w:r>
        <w:rPr>
          <w:sz w:val="24"/>
        </w:rPr>
        <w:t>2) оповещение населения об угрозе возникновения или о возникновении чрезвычайных ситуаций природного и техногенного характера;</w:t>
      </w:r>
    </w:p>
    <w:p w:rsidR="002145C7" w:rsidRDefault="002145C7">
      <w:pPr>
        <w:ind w:firstLine="709"/>
        <w:jc w:val="both"/>
        <w:rPr>
          <w:sz w:val="24"/>
        </w:rPr>
        <w:sectPr w:rsidR="002145C7">
          <w:pgSz w:w="11906" w:h="16838"/>
          <w:pgMar w:top="1134" w:right="1418" w:bottom="1134" w:left="1418" w:header="709" w:footer="709" w:gutter="0"/>
          <w:cols w:space="720"/>
        </w:sectPr>
      </w:pPr>
      <w:r>
        <w:rPr>
          <w:sz w:val="24"/>
        </w:rPr>
        <w:t xml:space="preserve">3) осуществление богослужений, других религиозных обрядов и церемоний, совершаемых в культовых зданиях и сооружениях, принадлежащих религиозным </w:t>
      </w:r>
    </w:p>
    <w:p w:rsidR="00A16C96" w:rsidRDefault="002145C7" w:rsidP="002145C7">
      <w:pPr>
        <w:jc w:val="both"/>
        <w:rPr>
          <w:sz w:val="24"/>
        </w:rPr>
      </w:pPr>
      <w:r>
        <w:rPr>
          <w:sz w:val="24"/>
        </w:rPr>
        <w:t>организациям, а также на земельных участках, на которых расположены такие здания и сооружения, в формах, не противоречащих законодательству Российской Федерации, без использования звуковоспроизводящих и звукоусиливающих устройств;</w:t>
      </w:r>
    </w:p>
    <w:p w:rsidR="00A16C96" w:rsidRDefault="002145C7">
      <w:pPr>
        <w:ind w:firstLine="709"/>
        <w:jc w:val="both"/>
        <w:rPr>
          <w:sz w:val="24"/>
        </w:rPr>
      </w:pPr>
      <w:r>
        <w:rPr>
          <w:sz w:val="24"/>
        </w:rPr>
        <w:t>4) использование звуковоспроизводящих и звукоусиливающих устройств, в том числе установленных на транспортных средствах, в нестационарных торговых объектах, ресторанах, кафе, игру на музыкальных инструментах, пение, крики, свист, а также иные действия, сопровождающиеся звуками, применение пиротехнических средств в период с 23 часов 00 минут 31 декабря до 10 часов 00 минут 1 января по местному времени следующего года или во время проведения праздничных и иных массовых мероприятий (в том числе культурных и спортивных), организуемых по решению органов государственной власти и (или) органов местного самоуправления муниципальных образований Ненецкого автономного округа.</w:t>
      </w:r>
    </w:p>
    <w:p w:rsidR="00A16C96" w:rsidRDefault="002145C7">
      <w:pPr>
        <w:ind w:firstLine="709"/>
        <w:jc w:val="both"/>
        <w:rPr>
          <w:sz w:val="24"/>
        </w:rPr>
      </w:pPr>
      <w:r>
        <w:rPr>
          <w:sz w:val="24"/>
        </w:rPr>
        <w:t xml:space="preserve">5) действия, связанные с проведением дорожной деятельности в соответствии с Федеральным </w:t>
      </w:r>
      <w:r>
        <w:rPr>
          <w:sz w:val="24"/>
          <w:u w:color="000000"/>
        </w:rPr>
        <w:t>законом от 8 ноября 2007 года № 257-ФЗ «</w:t>
      </w:r>
      <w:r>
        <w:rPr>
          <w:sz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16C96" w:rsidRDefault="00A16C96">
      <w:pPr>
        <w:widowControl w:val="0"/>
        <w:ind w:firstLine="709"/>
        <w:jc w:val="both"/>
        <w:rPr>
          <w:sz w:val="24"/>
        </w:rPr>
      </w:pPr>
    </w:p>
    <w:p w:rsidR="00A16C96" w:rsidRDefault="002145C7">
      <w:pPr>
        <w:widowControl w:val="0"/>
        <w:ind w:firstLine="709"/>
        <w:jc w:val="both"/>
        <w:rPr>
          <w:sz w:val="24"/>
        </w:rPr>
      </w:pPr>
      <w:r>
        <w:rPr>
          <w:sz w:val="24"/>
        </w:rPr>
        <w:t xml:space="preserve">Статья 5. </w:t>
      </w:r>
      <w:r>
        <w:rPr>
          <w:b/>
          <w:sz w:val="24"/>
        </w:rPr>
        <w:t>Ответственность за нарушение требований настоящего закона</w:t>
      </w:r>
    </w:p>
    <w:p w:rsidR="00A16C96" w:rsidRDefault="00A16C96">
      <w:pPr>
        <w:widowControl w:val="0"/>
        <w:ind w:firstLine="709"/>
        <w:jc w:val="both"/>
        <w:rPr>
          <w:b/>
          <w:sz w:val="24"/>
        </w:rPr>
      </w:pPr>
    </w:p>
    <w:p w:rsidR="00A16C96" w:rsidRDefault="002145C7">
      <w:pPr>
        <w:widowControl w:val="0"/>
        <w:ind w:firstLine="709"/>
        <w:jc w:val="both"/>
        <w:rPr>
          <w:sz w:val="24"/>
        </w:rPr>
      </w:pPr>
      <w:r>
        <w:rPr>
          <w:sz w:val="24"/>
        </w:rPr>
        <w:t>Нарушение требований настоящего закона, обеспечивающих тишину и покой граждан, влечет административную ответственность в соответствии с законом Ненецкого автономного округа от 26 июня 2002 года № 366-оз «Об административных правонарушениях».</w:t>
      </w:r>
    </w:p>
    <w:p w:rsidR="00A16C96" w:rsidRDefault="00A16C96">
      <w:pPr>
        <w:widowControl w:val="0"/>
        <w:ind w:firstLine="709"/>
        <w:jc w:val="both"/>
        <w:rPr>
          <w:sz w:val="24"/>
        </w:rPr>
      </w:pPr>
    </w:p>
    <w:p w:rsidR="00A16C96" w:rsidRDefault="002145C7">
      <w:pPr>
        <w:widowControl w:val="0"/>
        <w:ind w:firstLine="709"/>
        <w:jc w:val="both"/>
        <w:rPr>
          <w:sz w:val="24"/>
        </w:rPr>
      </w:pPr>
      <w:r>
        <w:rPr>
          <w:sz w:val="24"/>
        </w:rPr>
        <w:t xml:space="preserve">Статья 6. </w:t>
      </w:r>
      <w:r>
        <w:rPr>
          <w:b/>
          <w:sz w:val="24"/>
        </w:rPr>
        <w:t>Вступление в силу настоящего закона</w:t>
      </w:r>
    </w:p>
    <w:p w:rsidR="00A16C96" w:rsidRDefault="00A16C96">
      <w:pPr>
        <w:ind w:firstLine="709"/>
        <w:jc w:val="both"/>
        <w:rPr>
          <w:sz w:val="24"/>
        </w:rPr>
      </w:pPr>
    </w:p>
    <w:p w:rsidR="00A16C96" w:rsidRDefault="002145C7">
      <w:pPr>
        <w:ind w:firstLine="709"/>
        <w:jc w:val="both"/>
        <w:rPr>
          <w:sz w:val="24"/>
        </w:rPr>
      </w:pPr>
      <w:r>
        <w:rPr>
          <w:sz w:val="24"/>
        </w:rPr>
        <w:t>Настоящий закон вступает в силу по истечении десяти дней после дня его официального опубликования.</w:t>
      </w:r>
    </w:p>
    <w:p w:rsidR="00A16C96" w:rsidRDefault="00A16C96">
      <w:pPr>
        <w:ind w:firstLine="709"/>
        <w:jc w:val="both"/>
        <w:rPr>
          <w:rFonts w:ascii="XO Thames" w:hAnsi="XO Thames"/>
          <w:sz w:val="24"/>
        </w:rPr>
      </w:pPr>
    </w:p>
    <w:p w:rsidR="00A16C96" w:rsidRDefault="00A16C96">
      <w:pPr>
        <w:spacing w:line="1000" w:lineRule="exact"/>
        <w:ind w:firstLine="709"/>
        <w:jc w:val="both"/>
        <w:rPr>
          <w:rFonts w:ascii="XO Thames" w:hAnsi="XO Thames"/>
          <w:sz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677"/>
        <w:gridCol w:w="4678"/>
      </w:tblGrid>
      <w:tr w:rsidR="00A16C96">
        <w:tc>
          <w:tcPr>
            <w:tcW w:w="4677" w:type="dxa"/>
            <w:tcBorders>
              <w:top w:val="nil"/>
              <w:left w:val="nil"/>
              <w:bottom w:val="nil"/>
              <w:right w:val="nil"/>
            </w:tcBorders>
            <w:tcMar>
              <w:left w:w="0" w:type="dxa"/>
              <w:right w:w="0" w:type="dxa"/>
            </w:tcMar>
          </w:tcPr>
          <w:p w:rsidR="00A16C96" w:rsidRDefault="002145C7">
            <w:pPr>
              <w:widowControl w:val="0"/>
              <w:rPr>
                <w:rFonts w:ascii="XO Thames" w:hAnsi="XO Thames"/>
                <w:b/>
                <w:sz w:val="24"/>
              </w:rPr>
            </w:pPr>
            <w:r>
              <w:rPr>
                <w:rFonts w:ascii="XO Thames" w:hAnsi="XO Thames"/>
                <w:b/>
                <w:sz w:val="24"/>
              </w:rPr>
              <w:t>Председатель Собрания депутатов</w:t>
            </w:r>
          </w:p>
          <w:p w:rsidR="00A16C96" w:rsidRDefault="002145C7">
            <w:pPr>
              <w:widowControl w:val="0"/>
              <w:rPr>
                <w:rFonts w:ascii="XO Thames" w:hAnsi="XO Thames"/>
                <w:b/>
                <w:sz w:val="24"/>
              </w:rPr>
            </w:pPr>
            <w:r>
              <w:rPr>
                <w:rFonts w:ascii="XO Thames" w:hAnsi="XO Thames"/>
                <w:b/>
                <w:sz w:val="24"/>
              </w:rPr>
              <w:t>Ненецкого автономного округа</w:t>
            </w:r>
          </w:p>
          <w:p w:rsidR="00A16C96" w:rsidRDefault="00A16C96">
            <w:pPr>
              <w:widowControl w:val="0"/>
              <w:spacing w:line="1000" w:lineRule="exact"/>
              <w:rPr>
                <w:rFonts w:ascii="XO Thames" w:hAnsi="XO Thames"/>
                <w:sz w:val="24"/>
              </w:rPr>
            </w:pPr>
          </w:p>
          <w:p w:rsidR="00A16C96" w:rsidRDefault="002145C7">
            <w:pPr>
              <w:widowControl w:val="0"/>
              <w:jc w:val="right"/>
              <w:rPr>
                <w:rFonts w:ascii="XO Thames" w:hAnsi="XO Thames"/>
                <w:sz w:val="24"/>
              </w:rPr>
            </w:pPr>
            <w:r>
              <w:rPr>
                <w:rFonts w:ascii="XO Thames" w:hAnsi="XO Thames"/>
                <w:b/>
                <w:sz w:val="24"/>
              </w:rPr>
              <w:t>А.П. Чурсанов</w:t>
            </w:r>
          </w:p>
        </w:tc>
        <w:tc>
          <w:tcPr>
            <w:tcW w:w="4678" w:type="dxa"/>
            <w:tcBorders>
              <w:top w:val="nil"/>
              <w:left w:val="nil"/>
              <w:bottom w:val="nil"/>
              <w:right w:val="nil"/>
            </w:tcBorders>
            <w:tcMar>
              <w:left w:w="0" w:type="dxa"/>
              <w:right w:w="0" w:type="dxa"/>
            </w:tcMar>
          </w:tcPr>
          <w:p w:rsidR="00A16C96" w:rsidRDefault="002145C7">
            <w:pPr>
              <w:widowControl w:val="0"/>
              <w:rPr>
                <w:rFonts w:ascii="XO Thames" w:hAnsi="XO Thames"/>
                <w:b/>
                <w:sz w:val="24"/>
              </w:rPr>
            </w:pPr>
            <w:r>
              <w:rPr>
                <w:rFonts w:ascii="XO Thames" w:hAnsi="XO Thames"/>
                <w:b/>
                <w:sz w:val="24"/>
              </w:rPr>
              <w:t>Губернатор Ненецкого автономного округа</w:t>
            </w:r>
          </w:p>
          <w:p w:rsidR="00A16C96" w:rsidRDefault="00A16C96">
            <w:pPr>
              <w:widowControl w:val="0"/>
              <w:spacing w:line="1000" w:lineRule="exact"/>
              <w:rPr>
                <w:rFonts w:ascii="XO Thames" w:hAnsi="XO Thames"/>
                <w:b/>
                <w:sz w:val="24"/>
              </w:rPr>
            </w:pPr>
          </w:p>
          <w:p w:rsidR="00A16C96" w:rsidRDefault="002145C7">
            <w:pPr>
              <w:widowControl w:val="0"/>
              <w:jc w:val="right"/>
              <w:rPr>
                <w:rFonts w:ascii="XO Thames" w:hAnsi="XO Thames"/>
                <w:sz w:val="24"/>
              </w:rPr>
            </w:pPr>
            <w:r>
              <w:rPr>
                <w:rFonts w:ascii="XO Thames" w:hAnsi="XO Thames"/>
                <w:b/>
                <w:sz w:val="24"/>
              </w:rPr>
              <w:t xml:space="preserve">И.А. </w:t>
            </w:r>
            <w:proofErr w:type="spellStart"/>
            <w:r>
              <w:rPr>
                <w:rFonts w:ascii="XO Thames" w:hAnsi="XO Thames"/>
                <w:b/>
                <w:sz w:val="24"/>
              </w:rPr>
              <w:t>Гехт</w:t>
            </w:r>
            <w:proofErr w:type="spellEnd"/>
          </w:p>
        </w:tc>
      </w:tr>
    </w:tbl>
    <w:p w:rsidR="00A16C96" w:rsidRDefault="00A16C96">
      <w:pPr>
        <w:widowControl w:val="0"/>
        <w:spacing w:line="1000" w:lineRule="exact"/>
        <w:rPr>
          <w:rFonts w:ascii="XO Thames" w:hAnsi="XO Thames"/>
          <w:sz w:val="24"/>
        </w:rPr>
      </w:pPr>
    </w:p>
    <w:p w:rsidR="00A16C96" w:rsidRDefault="002145C7">
      <w:pPr>
        <w:widowControl w:val="0"/>
        <w:rPr>
          <w:rFonts w:ascii="XO Thames" w:hAnsi="XO Thames"/>
          <w:sz w:val="24"/>
        </w:rPr>
      </w:pPr>
      <w:r>
        <w:rPr>
          <w:rFonts w:ascii="XO Thames" w:hAnsi="XO Thames"/>
          <w:sz w:val="24"/>
        </w:rPr>
        <w:t>г. Нарьян-Мар</w:t>
      </w:r>
    </w:p>
    <w:p w:rsidR="00A16C96" w:rsidRDefault="002145C7">
      <w:pPr>
        <w:widowControl w:val="0"/>
        <w:rPr>
          <w:rFonts w:ascii="XO Thames" w:hAnsi="XO Thames"/>
          <w:sz w:val="24"/>
        </w:rPr>
      </w:pPr>
      <w:r>
        <w:rPr>
          <w:rFonts w:ascii="XO Thames" w:hAnsi="XO Thames"/>
          <w:sz w:val="24"/>
        </w:rPr>
        <w:t>«___» ____________20__года</w:t>
      </w:r>
    </w:p>
    <w:p w:rsidR="00A16C96" w:rsidRDefault="002145C7">
      <w:pPr>
        <w:tabs>
          <w:tab w:val="left" w:pos="7894"/>
        </w:tabs>
        <w:jc w:val="both"/>
        <w:rPr>
          <w:rFonts w:ascii="XO Thames" w:hAnsi="XO Thames"/>
          <w:sz w:val="24"/>
        </w:rPr>
      </w:pPr>
      <w:r>
        <w:rPr>
          <w:rFonts w:ascii="XO Thames" w:hAnsi="XO Thames"/>
          <w:sz w:val="24"/>
        </w:rPr>
        <w:t>№____-</w:t>
      </w:r>
      <w:proofErr w:type="spellStart"/>
      <w:r>
        <w:rPr>
          <w:rFonts w:ascii="XO Thames" w:hAnsi="XO Thames"/>
          <w:sz w:val="24"/>
        </w:rPr>
        <w:t>оз</w:t>
      </w:r>
      <w:proofErr w:type="spellEnd"/>
    </w:p>
    <w:p w:rsidR="00A16C96" w:rsidRDefault="00A16C96">
      <w:pPr>
        <w:tabs>
          <w:tab w:val="left" w:pos="3544"/>
          <w:tab w:val="left" w:pos="3828"/>
        </w:tabs>
        <w:ind w:firstLine="709"/>
        <w:jc w:val="both"/>
        <w:rPr>
          <w:rFonts w:ascii="XO Thames" w:hAnsi="XO Thames"/>
          <w:sz w:val="24"/>
        </w:rPr>
      </w:pPr>
    </w:p>
    <w:p w:rsidR="002145C7" w:rsidRDefault="002145C7">
      <w:pPr>
        <w:ind w:firstLine="709"/>
        <w:jc w:val="both"/>
        <w:rPr>
          <w:sz w:val="24"/>
        </w:rPr>
        <w:sectPr w:rsidR="002145C7">
          <w:pgSz w:w="11906" w:h="16838"/>
          <w:pgMar w:top="1134" w:right="1418" w:bottom="1134" w:left="1418" w:header="709" w:footer="709" w:gutter="0"/>
          <w:cols w:space="720"/>
        </w:sectPr>
      </w:pPr>
    </w:p>
    <w:p w:rsidR="002145C7" w:rsidRDefault="002145C7" w:rsidP="002145C7">
      <w:pPr>
        <w:pStyle w:val="ConsPlusTitle"/>
        <w:widowControl/>
        <w:jc w:val="center"/>
        <w:outlineLvl w:val="0"/>
        <w:rPr>
          <w:rFonts w:ascii="Times New Roman" w:hAnsi="Times New Roman"/>
        </w:rPr>
      </w:pPr>
      <w:r>
        <w:rPr>
          <w:rFonts w:ascii="Times New Roman" w:hAnsi="Times New Roman"/>
        </w:rPr>
        <w:t xml:space="preserve">Пояснительная записка </w:t>
      </w:r>
    </w:p>
    <w:p w:rsidR="002145C7" w:rsidRDefault="002145C7" w:rsidP="002145C7">
      <w:pPr>
        <w:pStyle w:val="ConsPlusTitle"/>
        <w:widowControl/>
        <w:jc w:val="center"/>
        <w:outlineLvl w:val="0"/>
        <w:rPr>
          <w:rFonts w:ascii="Times New Roman" w:hAnsi="Times New Roman"/>
        </w:rPr>
      </w:pPr>
      <w:r>
        <w:rPr>
          <w:rFonts w:ascii="Times New Roman" w:hAnsi="Times New Roman"/>
        </w:rPr>
        <w:t>к проекту закона Ненецкого автономного округа</w:t>
      </w:r>
    </w:p>
    <w:p w:rsidR="002145C7" w:rsidRDefault="002145C7" w:rsidP="002145C7">
      <w:pPr>
        <w:pStyle w:val="ConsPlusTitle"/>
        <w:widowControl/>
        <w:jc w:val="center"/>
        <w:rPr>
          <w:rFonts w:ascii="Times New Roman" w:hAnsi="Times New Roman"/>
        </w:rPr>
      </w:pPr>
      <w:bookmarkStart w:id="3" w:name="_Hlk211368230"/>
      <w:r>
        <w:rPr>
          <w:rFonts w:ascii="Times New Roman" w:hAnsi="Times New Roman"/>
        </w:rPr>
        <w:t>«Об обеспечении тишины и покоя граждан</w:t>
      </w:r>
    </w:p>
    <w:p w:rsidR="002145C7" w:rsidRDefault="002145C7" w:rsidP="002145C7">
      <w:pPr>
        <w:pStyle w:val="ConsPlusTitle"/>
        <w:widowControl/>
        <w:jc w:val="center"/>
        <w:rPr>
          <w:rFonts w:ascii="Times New Roman" w:hAnsi="Times New Roman"/>
        </w:rPr>
      </w:pPr>
      <w:r>
        <w:rPr>
          <w:rFonts w:ascii="Times New Roman" w:hAnsi="Times New Roman"/>
        </w:rPr>
        <w:t>на территории Ненецкого автономного округа»</w:t>
      </w:r>
      <w:bookmarkEnd w:id="3"/>
    </w:p>
    <w:p w:rsidR="002145C7" w:rsidRDefault="002145C7" w:rsidP="002145C7">
      <w:pPr>
        <w:pStyle w:val="ConsPlusNormal"/>
        <w:widowControl/>
        <w:ind w:firstLine="709"/>
        <w:jc w:val="both"/>
      </w:pPr>
    </w:p>
    <w:p w:rsidR="002145C7" w:rsidRDefault="002145C7" w:rsidP="002145C7">
      <w:pPr>
        <w:pStyle w:val="ConsPlusNormal"/>
        <w:widowControl/>
        <w:ind w:firstLine="709"/>
        <w:jc w:val="both"/>
      </w:pPr>
      <w:r>
        <w:t>Проект закона Ненецкого автономного округа «Об обеспечении тишины и покоя граждан на территории Ненецкого автономного округа» (далее – проект) разработан в целях установления единых требований к физическим и юридическим лицам по вопросам соблюдении тишины и покоя граждан на территории Ненецкого автономного округа.</w:t>
      </w:r>
    </w:p>
    <w:p w:rsidR="002145C7" w:rsidRDefault="002145C7" w:rsidP="002145C7">
      <w:pPr>
        <w:pStyle w:val="ConsPlusNormal"/>
        <w:widowControl/>
        <w:ind w:firstLine="709"/>
        <w:jc w:val="both"/>
      </w:pPr>
      <w:r>
        <w:t>В настоящее время вопросы обеспечения тишины и покоя граждан в ночное время на территории округа нормативными правовыми актами не урегулирован, а статьей 2.1.1 закона Ненецкого автономного округа «Об административных правонарушениях» предусмотрена административная ответственность за нарушение тишины и покоя граждан, находящихся в защищаемых помещениях, под которыми понимаются помещения медицинских организаций, специализированных организаций для детей, престарелых и инвалидов, квартиры жилых домов.</w:t>
      </w:r>
    </w:p>
    <w:p w:rsidR="002145C7" w:rsidRDefault="002145C7" w:rsidP="002145C7">
      <w:pPr>
        <w:pStyle w:val="ConsPlusNormal"/>
        <w:widowControl/>
        <w:ind w:firstLine="709"/>
        <w:jc w:val="both"/>
      </w:pPr>
      <w:r>
        <w:t>Принятие данного проекта послужит основой для восстановления положительной правоприменительной практики по реализации права граждан на тишину и покой в ночное время.</w:t>
      </w:r>
    </w:p>
    <w:p w:rsidR="002145C7" w:rsidRDefault="002145C7" w:rsidP="002145C7">
      <w:pPr>
        <w:pStyle w:val="ConsPlusNormal"/>
        <w:widowControl/>
        <w:ind w:firstLine="709"/>
        <w:jc w:val="both"/>
      </w:pPr>
      <w:r>
        <w:t>Проектом предлагается установить периоды времени, когда не допускается нарушать тишину и покой граждан. В частности, под ночным временем понимается период времени с 23 часов до 7 часов местного времени, что согласуется с положениями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(пункт 109).</w:t>
      </w:r>
    </w:p>
    <w:p w:rsidR="002145C7" w:rsidRDefault="002145C7" w:rsidP="002145C7">
      <w:pPr>
        <w:pStyle w:val="ConsPlusNormal"/>
        <w:widowControl/>
        <w:ind w:firstLine="709"/>
        <w:jc w:val="both"/>
      </w:pPr>
      <w:r>
        <w:t xml:space="preserve">Дополнительно проектом предусмотрен период времени, когда запрещается использование звуковоспроизводящих и звукоусиливающих устройств, крики, стук, свист, пение, танцы, игра на музыкальных инструментах, а также проведение ремонтных </w:t>
      </w:r>
      <w:proofErr w:type="gramStart"/>
      <w:r>
        <w:t>работ  в</w:t>
      </w:r>
      <w:proofErr w:type="gramEnd"/>
      <w:r>
        <w:t xml:space="preserve"> жилых домах, превышающие пределы допустимых шумовых воздействий – с 13 до 15 часов местного времени ежедневно.</w:t>
      </w:r>
    </w:p>
    <w:p w:rsidR="002145C7" w:rsidRDefault="002145C7" w:rsidP="002145C7">
      <w:pPr>
        <w:pStyle w:val="ConsPlusNormal"/>
        <w:widowControl/>
        <w:ind w:firstLine="709"/>
        <w:jc w:val="both"/>
      </w:pPr>
      <w:r>
        <w:t>Проектом предлагается установить перечень действий, которые приводят к нарушению тишины и покоя граждан и могут квалифицироваться как совершение административного правонарушения. Иные действия (бездействия) граждан не могут квалифицироваться как нарушение тишины и покоя граждан.</w:t>
      </w:r>
    </w:p>
    <w:p w:rsidR="002145C7" w:rsidRDefault="002145C7" w:rsidP="002145C7">
      <w:pPr>
        <w:pStyle w:val="ConsPlusNormal"/>
        <w:widowControl/>
        <w:ind w:firstLine="709"/>
        <w:jc w:val="both"/>
        <w:rPr>
          <w:i/>
        </w:rPr>
      </w:pPr>
      <w:r>
        <w:t>Проектом предусмотрены исключения – случаи, когда его нормы не применяются:</w:t>
      </w:r>
    </w:p>
    <w:p w:rsidR="002145C7" w:rsidRDefault="002145C7" w:rsidP="002145C7">
      <w:pPr>
        <w:numPr>
          <w:ilvl w:val="0"/>
          <w:numId w:val="1"/>
        </w:numPr>
        <w:jc w:val="both"/>
        <w:rPr>
          <w:sz w:val="24"/>
        </w:rPr>
      </w:pPr>
      <w:r>
        <w:rPr>
          <w:sz w:val="24"/>
        </w:rPr>
        <w:t>предупреждение, предотвращение и пресечение правонарушений и преступлений, предотвращение и ликвидацию последствий аварий, стихийных бедствий, иных чрезвычайных ситуаций природного и техногенного характера, тушение пожаров, оказание медицинской помощи, проведение спасательных и неотложных работ, необходимых для обеспечения безопасности граждан или функционирования объектов жизнеобеспечения и жизнедеятельности;</w:t>
      </w:r>
    </w:p>
    <w:p w:rsidR="002145C7" w:rsidRDefault="002145C7" w:rsidP="002145C7">
      <w:pPr>
        <w:numPr>
          <w:ilvl w:val="0"/>
          <w:numId w:val="1"/>
        </w:numPr>
        <w:jc w:val="both"/>
        <w:rPr>
          <w:sz w:val="24"/>
        </w:rPr>
      </w:pPr>
      <w:r>
        <w:rPr>
          <w:sz w:val="24"/>
        </w:rPr>
        <w:t>оповещение населения об угрозе возникновения или о возникновении чрезвычайных ситуаций природного и техногенного характера;</w:t>
      </w:r>
    </w:p>
    <w:p w:rsidR="002145C7" w:rsidRDefault="002145C7" w:rsidP="002145C7">
      <w:pPr>
        <w:numPr>
          <w:ilvl w:val="0"/>
          <w:numId w:val="1"/>
        </w:numPr>
        <w:jc w:val="both"/>
        <w:rPr>
          <w:sz w:val="24"/>
        </w:rPr>
      </w:pPr>
      <w:r>
        <w:rPr>
          <w:sz w:val="24"/>
        </w:rPr>
        <w:t>осуществление богослужений, других религиозных обрядов и церемоний, совершаемых в культовых зданиях и сооружениях, принадлежащих религиозным организациям, а также на земельных участках, на которых расположены такие здания и сооружения, в формах, не противоречащих законодательству Российской Федерации, без использования звуковоспроизводящих и звукоусиливающих устройств;</w:t>
      </w:r>
    </w:p>
    <w:p w:rsidR="002145C7" w:rsidRDefault="002145C7" w:rsidP="002145C7">
      <w:pPr>
        <w:numPr>
          <w:ilvl w:val="0"/>
          <w:numId w:val="1"/>
        </w:numPr>
        <w:jc w:val="both"/>
        <w:rPr>
          <w:sz w:val="24"/>
        </w:rPr>
      </w:pPr>
      <w:r>
        <w:rPr>
          <w:sz w:val="24"/>
        </w:rPr>
        <w:t>использование звуковоспроизводящих и звукоусиливающих устройств, в том числе установленных на транспортных средствах, в нестационарных торговых объектах, ресторанах, кафе, игру на музыкальных инструментах, пение, крики, свист, а также иные действия, сопровождающиеся звуками, применение пиротехнических средств в период с 23 часов 00 минут 31 декабря до 10 часов 00 минут 1 января по местному времени следующего года или во время проведения праздничных и иных массовых мероприятий (в том числе культурных и спортивных), организуемых по решению органов государственной власти и (или) органов местного самоуправления муниципальных образований Ненецкого автономного округа.</w:t>
      </w:r>
    </w:p>
    <w:p w:rsidR="002145C7" w:rsidRDefault="002145C7" w:rsidP="002145C7">
      <w:pPr>
        <w:numPr>
          <w:ilvl w:val="0"/>
          <w:numId w:val="1"/>
        </w:numPr>
        <w:rPr>
          <w:sz w:val="24"/>
        </w:rPr>
      </w:pPr>
      <w:r>
        <w:rPr>
          <w:sz w:val="24"/>
        </w:rPr>
        <w:t xml:space="preserve">действия, связанные с проведением дорожной деятельности в соответствии с Федеральным </w:t>
      </w:r>
      <w:r>
        <w:rPr>
          <w:sz w:val="24"/>
          <w:u w:color="000000"/>
        </w:rPr>
        <w:t>законом от 8 ноября 2007 года № 257-ФЗ «</w:t>
      </w:r>
      <w:r>
        <w:rPr>
          <w:sz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Данный пункт включает в себя уборку снега в зимний период.</w:t>
      </w:r>
    </w:p>
    <w:p w:rsidR="002145C7" w:rsidRDefault="002145C7" w:rsidP="002145C7">
      <w:pPr>
        <w:pStyle w:val="ConsPlusNormal"/>
        <w:widowControl/>
        <w:ind w:firstLine="709"/>
        <w:jc w:val="both"/>
      </w:pPr>
      <w:r>
        <w:t>Положениями проекта предусмотрен закрытый перечень объектов, на которых обеспечивается соблюдение тишины и покоя граждан.</w:t>
      </w:r>
    </w:p>
    <w:p w:rsidR="002145C7" w:rsidRDefault="002145C7" w:rsidP="002145C7">
      <w:pPr>
        <w:pStyle w:val="ConsPlusNormal"/>
        <w:widowControl/>
        <w:ind w:firstLine="709"/>
        <w:jc w:val="both"/>
      </w:pPr>
      <w:r>
        <w:t>Принятие проекта фактически введет новые обязательные требования по соблюдению тишины и покоя граждан юридическими лицами и должностными лицами в процессе осуществления их хозяйственной деятельности. В этой связи, в отношении законопроекта проведена оценка регулирующего воздействия.</w:t>
      </w:r>
    </w:p>
    <w:p w:rsidR="002145C7" w:rsidRDefault="002145C7" w:rsidP="002145C7">
      <w:pPr>
        <w:pStyle w:val="ConsPlusNormal"/>
        <w:widowControl/>
        <w:ind w:firstLine="709"/>
        <w:jc w:val="both"/>
      </w:pPr>
      <w:r>
        <w:t>Принятие закона Ненецкого автономного округа «Об обеспечении тишины и покоя граждан на территории Ненецкого автономного округа» дополнительных расходов, финансируемых за счет средств окружного бюджета и бюджетов муниципальных образований, не повлечет.</w:t>
      </w:r>
    </w:p>
    <w:p w:rsidR="002145C7" w:rsidRDefault="002145C7" w:rsidP="002145C7">
      <w:pPr>
        <w:pStyle w:val="ConsPlusNormal"/>
        <w:widowControl/>
        <w:ind w:firstLine="709"/>
        <w:jc w:val="both"/>
      </w:pPr>
      <w:r>
        <w:t>Принятие закона Ненецкого автономного округа «Об обеспечении тишины и покоя граждан на территории Ненецкого автономного округа» потребует внесения изменений в статью 2.1.1 закона Ненецкого автономного округа «Об административных правонарушениях».</w:t>
      </w:r>
    </w:p>
    <w:p w:rsidR="00A16C96" w:rsidRDefault="00A16C96">
      <w:pPr>
        <w:ind w:firstLine="709"/>
        <w:jc w:val="both"/>
        <w:rPr>
          <w:sz w:val="24"/>
        </w:rPr>
      </w:pPr>
    </w:p>
    <w:p w:rsidR="00A16C96" w:rsidRDefault="00A16C96">
      <w:pPr>
        <w:ind w:firstLine="709"/>
        <w:jc w:val="both"/>
        <w:rPr>
          <w:sz w:val="24"/>
        </w:rPr>
      </w:pPr>
    </w:p>
    <w:p w:rsidR="00A16C96" w:rsidRDefault="00A16C96">
      <w:pPr>
        <w:tabs>
          <w:tab w:val="left" w:pos="993"/>
        </w:tabs>
        <w:spacing w:line="240" w:lineRule="atLeast"/>
        <w:jc w:val="both"/>
        <w:rPr>
          <w:sz w:val="24"/>
        </w:rPr>
      </w:pPr>
    </w:p>
    <w:p w:rsidR="002145C7" w:rsidRDefault="002145C7">
      <w:pPr>
        <w:tabs>
          <w:tab w:val="left" w:pos="993"/>
        </w:tabs>
        <w:spacing w:line="240" w:lineRule="atLeast"/>
        <w:jc w:val="both"/>
        <w:rPr>
          <w:sz w:val="24"/>
        </w:rPr>
        <w:sectPr w:rsidR="002145C7">
          <w:pgSz w:w="11906" w:h="16838"/>
          <w:pgMar w:top="1134" w:right="1418" w:bottom="1134" w:left="1418" w:header="709" w:footer="709" w:gutter="0"/>
          <w:cols w:space="720"/>
        </w:sectPr>
      </w:pPr>
    </w:p>
    <w:p w:rsidR="002145C7" w:rsidRDefault="002145C7">
      <w:pPr>
        <w:tabs>
          <w:tab w:val="left" w:pos="993"/>
        </w:tabs>
        <w:spacing w:line="240" w:lineRule="atLeast"/>
        <w:jc w:val="both"/>
        <w:rPr>
          <w:sz w:val="24"/>
        </w:rPr>
      </w:pPr>
      <w:r>
        <w:rPr>
          <w:noProof/>
        </w:rPr>
        <w:drawing>
          <wp:inline distT="0" distB="0" distL="0" distR="0" wp14:anchorId="3B88940F" wp14:editId="70CF7008">
            <wp:extent cx="5759450" cy="814832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59450" cy="8148320"/>
                    </a:xfrm>
                    <a:prstGeom prst="rect">
                      <a:avLst/>
                    </a:prstGeom>
                  </pic:spPr>
                </pic:pic>
              </a:graphicData>
            </a:graphic>
          </wp:inline>
        </w:drawing>
      </w:r>
    </w:p>
    <w:p w:rsidR="002145C7" w:rsidRPr="002145C7" w:rsidRDefault="002145C7" w:rsidP="002145C7">
      <w:pPr>
        <w:rPr>
          <w:sz w:val="24"/>
        </w:rPr>
      </w:pPr>
    </w:p>
    <w:p w:rsidR="002145C7" w:rsidRPr="002145C7" w:rsidRDefault="002145C7" w:rsidP="002145C7">
      <w:pPr>
        <w:rPr>
          <w:sz w:val="24"/>
        </w:rPr>
      </w:pPr>
    </w:p>
    <w:p w:rsidR="002145C7" w:rsidRDefault="002145C7" w:rsidP="002145C7">
      <w:pPr>
        <w:rPr>
          <w:sz w:val="24"/>
        </w:rPr>
      </w:pPr>
    </w:p>
    <w:p w:rsidR="002145C7" w:rsidRDefault="002145C7" w:rsidP="002145C7">
      <w:pPr>
        <w:tabs>
          <w:tab w:val="left" w:pos="2429"/>
        </w:tabs>
        <w:rPr>
          <w:sz w:val="24"/>
        </w:rPr>
        <w:sectPr w:rsidR="002145C7">
          <w:pgSz w:w="11906" w:h="16838"/>
          <w:pgMar w:top="1134" w:right="1418" w:bottom="1134" w:left="1418" w:header="709" w:footer="709" w:gutter="0"/>
          <w:cols w:space="720"/>
        </w:sectPr>
      </w:pPr>
      <w:r>
        <w:rPr>
          <w:sz w:val="24"/>
        </w:rPr>
        <w:tab/>
      </w:r>
    </w:p>
    <w:p w:rsidR="00A16C96" w:rsidRPr="002145C7" w:rsidRDefault="002145C7" w:rsidP="002145C7">
      <w:pPr>
        <w:tabs>
          <w:tab w:val="left" w:pos="2429"/>
        </w:tabs>
        <w:rPr>
          <w:sz w:val="24"/>
        </w:rPr>
      </w:pPr>
      <w:r>
        <w:rPr>
          <w:noProof/>
        </w:rPr>
        <w:drawing>
          <wp:inline distT="0" distB="0" distL="0" distR="0" wp14:anchorId="5C9089FE" wp14:editId="745FC165">
            <wp:extent cx="5759450" cy="814832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9450" cy="8148320"/>
                    </a:xfrm>
                    <a:prstGeom prst="rect">
                      <a:avLst/>
                    </a:prstGeom>
                  </pic:spPr>
                </pic:pic>
              </a:graphicData>
            </a:graphic>
          </wp:inline>
        </w:drawing>
      </w:r>
    </w:p>
    <w:sectPr w:rsidR="00A16C96" w:rsidRPr="002145C7">
      <w:pgSz w:w="11906" w:h="16838"/>
      <w:pgMar w:top="1134" w:right="1418"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E38C1"/>
    <w:multiLevelType w:val="multilevel"/>
    <w:tmpl w:val="0340F606"/>
    <w:lvl w:ilvl="0">
      <w:start w:val="1"/>
      <w:numFmt w:val="bullet"/>
      <w:suff w:val="space"/>
      <w:lvlText w:val="-"/>
      <w:lvlJc w:val="left"/>
      <w:pPr>
        <w:widowControl/>
        <w:ind w:left="0" w:firstLine="709"/>
      </w:pPr>
      <w:rPr>
        <w:rFonts w:ascii="Times New Roman" w:hAnsi="Times New Roman"/>
      </w:rPr>
    </w:lvl>
    <w:lvl w:ilvl="1">
      <w:start w:val="1"/>
      <w:numFmt w:val="bullet"/>
      <w:lvlText w:val="o"/>
      <w:lvlJc w:val="left"/>
      <w:pPr>
        <w:widowControl/>
        <w:ind w:left="2149" w:hanging="360"/>
      </w:pPr>
      <w:rPr>
        <w:rFonts w:ascii="Courier New" w:hAnsi="Courier New"/>
      </w:r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96"/>
    <w:rsid w:val="000E367B"/>
    <w:rsid w:val="002145C7"/>
    <w:rsid w:val="00A1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3187BD-F373-43E0-A0A7-4691AA2F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0"/>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a3">
    <w:name w:val="List Paragraph"/>
    <w:basedOn w:val="a"/>
    <w:link w:val="a4"/>
    <w:pPr>
      <w:ind w:left="720"/>
      <w:contextualSpacing/>
    </w:pPr>
  </w:style>
  <w:style w:type="character" w:customStyle="1" w:styleId="a4">
    <w:name w:val="Абзац списка Знак"/>
    <w:basedOn w:val="1"/>
    <w:link w:val="a3"/>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13">
    <w:name w:val="Обычный1"/>
    <w:link w:val="14"/>
    <w:rPr>
      <w:rFonts w:ascii="Times New Roman" w:hAnsi="Times New Roman"/>
      <w:sz w:val="20"/>
    </w:rPr>
  </w:style>
  <w:style w:type="character" w:customStyle="1" w:styleId="14">
    <w:name w:val="Обычный1"/>
    <w:link w:val="13"/>
    <w:rPr>
      <w:rFonts w:ascii="Times New Roman" w:hAnsi="Times New Roman"/>
      <w:sz w:val="20"/>
    </w:rPr>
  </w:style>
  <w:style w:type="paragraph" w:styleId="a5">
    <w:name w:val="No Spacing"/>
    <w:link w:val="a6"/>
    <w:pPr>
      <w:spacing w:after="0" w:line="240" w:lineRule="auto"/>
    </w:pPr>
  </w:style>
  <w:style w:type="character" w:customStyle="1" w:styleId="a6">
    <w:name w:val="Без интервала Знак"/>
    <w:link w:val="a5"/>
  </w:style>
  <w:style w:type="paragraph" w:customStyle="1" w:styleId="ConsPlusNormal">
    <w:name w:val="ConsPlusNormal"/>
    <w:link w:val="ConsPlusNormal0"/>
    <w:pPr>
      <w:widowControl w:val="0"/>
      <w:spacing w:after="0" w:line="240" w:lineRule="auto"/>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5">
    <w:name w:val="Обычный1"/>
    <w:link w:val="16"/>
    <w:rPr>
      <w:rFonts w:ascii="Times New Roman" w:hAnsi="Times New Roman"/>
      <w:sz w:val="20"/>
    </w:rPr>
  </w:style>
  <w:style w:type="character" w:customStyle="1" w:styleId="16">
    <w:name w:val="Обычный1"/>
    <w:link w:val="15"/>
    <w:rPr>
      <w:rFonts w:ascii="Times New Roman" w:hAnsi="Times New Roman"/>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7">
    <w:name w:val="Строгий1"/>
    <w:basedOn w:val="18"/>
    <w:link w:val="19"/>
    <w:rPr>
      <w:b/>
    </w:rPr>
  </w:style>
  <w:style w:type="character" w:customStyle="1" w:styleId="19">
    <w:name w:val="Строгий1"/>
    <w:basedOn w:val="1a"/>
    <w:link w:val="17"/>
    <w:rPr>
      <w:b/>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1b">
    <w:name w:val="Гиперссылка1"/>
    <w:link w:val="a7"/>
    <w:rPr>
      <w:color w:val="0000FF"/>
      <w:u w:val="single"/>
    </w:rPr>
  </w:style>
  <w:style w:type="character" w:styleId="a7">
    <w:name w:val="Hyperlink"/>
    <w:link w:val="1b"/>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8">
    <w:name w:val="Normal (Web)"/>
    <w:basedOn w:val="a"/>
    <w:link w:val="a9"/>
    <w:pPr>
      <w:spacing w:beforeAutospacing="1" w:afterAutospacing="1"/>
    </w:pPr>
    <w:rPr>
      <w:sz w:val="24"/>
    </w:rPr>
  </w:style>
  <w:style w:type="character" w:customStyle="1" w:styleId="a9">
    <w:name w:val="Обычный (веб) Знак"/>
    <w:basedOn w:val="1"/>
    <w:link w:val="a8"/>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a">
    <w:name w:val="Balloon Text"/>
    <w:basedOn w:val="a"/>
    <w:link w:val="ab"/>
    <w:rPr>
      <w:rFonts w:ascii="Segoe UI" w:hAnsi="Segoe UI"/>
      <w:sz w:val="18"/>
    </w:rPr>
  </w:style>
  <w:style w:type="character" w:customStyle="1" w:styleId="ab">
    <w:name w:val="Текст выноски Знак"/>
    <w:basedOn w:val="1"/>
    <w:link w:val="aa"/>
    <w:rPr>
      <w:rFonts w:ascii="Segoe UI" w:hAnsi="Segoe UI"/>
      <w:sz w:val="1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c">
    <w:basedOn w:val="a"/>
    <w:next w:val="ad"/>
    <w:link w:val="ae"/>
    <w:semiHidden/>
    <w:unhideWhenUsed/>
    <w:pPr>
      <w:ind w:left="709" w:hanging="709"/>
      <w:jc w:val="center"/>
    </w:pPr>
    <w:rPr>
      <w:b/>
      <w:sz w:val="24"/>
    </w:rPr>
  </w:style>
  <w:style w:type="character" w:customStyle="1" w:styleId="ae">
    <w:basedOn w:val="1"/>
    <w:link w:val="ac"/>
    <w:semiHidden/>
    <w:unhideWhenUsed/>
    <w:rPr>
      <w:rFonts w:ascii="Times New Roman" w:hAnsi="Times New Roman"/>
      <w:b/>
      <w:sz w:val="24"/>
    </w:rPr>
  </w:style>
  <w:style w:type="paragraph" w:styleId="af">
    <w:name w:val="Subtitle"/>
    <w:next w:val="a"/>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customStyle="1" w:styleId="18">
    <w:name w:val="Основной шрифт абзаца1"/>
    <w:link w:val="1a"/>
  </w:style>
  <w:style w:type="character" w:customStyle="1" w:styleId="1a">
    <w:name w:val="Основной шрифт абзаца1"/>
    <w:link w:val="18"/>
  </w:style>
  <w:style w:type="paragraph" w:styleId="ad">
    <w:name w:val="Title"/>
    <w:basedOn w:val="a"/>
    <w:next w:val="a"/>
    <w:link w:val="af1"/>
    <w:uiPriority w:val="10"/>
    <w:qFormat/>
    <w:pPr>
      <w:contextualSpacing/>
    </w:pPr>
    <w:rPr>
      <w:rFonts w:asciiTheme="majorHAnsi" w:hAnsiTheme="majorHAnsi"/>
      <w:spacing w:val="-10"/>
      <w:sz w:val="56"/>
    </w:rPr>
  </w:style>
  <w:style w:type="character" w:customStyle="1" w:styleId="af1">
    <w:name w:val="Заголовок Знак"/>
    <w:basedOn w:val="1"/>
    <w:link w:val="ad"/>
    <w:rPr>
      <w:rFonts w:asciiTheme="majorHAnsi" w:hAnsiTheme="majorHAnsi"/>
      <w:spacing w:val="-10"/>
      <w:sz w:val="56"/>
    </w:rPr>
  </w:style>
  <w:style w:type="character" w:customStyle="1" w:styleId="40">
    <w:name w:val="Заголовок 4 Знак"/>
    <w:link w:val="4"/>
    <w:rPr>
      <w:rFonts w:ascii="XO Thames" w:hAnsi="XO Thames"/>
      <w:b/>
      <w:sz w:val="24"/>
    </w:rPr>
  </w:style>
  <w:style w:type="paragraph" w:customStyle="1" w:styleId="25">
    <w:name w:val="Основной шрифт абзаца2"/>
    <w:link w:val="26"/>
  </w:style>
  <w:style w:type="character" w:customStyle="1" w:styleId="26">
    <w:name w:val="Основной шрифт абзаца2"/>
    <w:link w:val="25"/>
  </w:style>
  <w:style w:type="character" w:customStyle="1" w:styleId="20">
    <w:name w:val="Заголовок 2 Знак"/>
    <w:link w:val="2"/>
    <w:rPr>
      <w:rFonts w:ascii="XO Thames" w:hAnsi="XO Thames"/>
      <w:b/>
      <w:sz w:val="28"/>
    </w:rPr>
  </w:style>
  <w:style w:type="paragraph" w:customStyle="1" w:styleId="ConsPlusTitle">
    <w:name w:val="ConsPlusTitle"/>
    <w:rsid w:val="002145C7"/>
    <w:pPr>
      <w:widowControl w:val="0"/>
      <w:spacing w:after="0" w:line="240" w:lineRule="auto"/>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1838</Words>
  <Characters>10482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Александровна Карпушева</dc:creator>
  <cp:lastModifiedBy>Людмила Александровна Карпушева</cp:lastModifiedBy>
  <cp:revision>3</cp:revision>
  <dcterms:created xsi:type="dcterms:W3CDTF">2026-04-06T08:17:00Z</dcterms:created>
  <dcterms:modified xsi:type="dcterms:W3CDTF">2026-04-06T08:18:00Z</dcterms:modified>
</cp:coreProperties>
</file>