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9" w:type="dxa"/>
        <w:jc w:val="right"/>
        <w:tblLayout w:type="fixed"/>
        <w:tblLook w:val="04A0" w:firstRow="1" w:lastRow="0" w:firstColumn="1" w:lastColumn="0" w:noHBand="0" w:noVBand="1"/>
      </w:tblPr>
      <w:tblGrid>
        <w:gridCol w:w="4315"/>
        <w:gridCol w:w="4754"/>
      </w:tblGrid>
      <w:tr w:rsidR="00582D35" w:rsidTr="00165FFF">
        <w:trPr>
          <w:jc w:val="right"/>
        </w:trPr>
        <w:tc>
          <w:tcPr>
            <w:tcW w:w="4315" w:type="dxa"/>
          </w:tcPr>
          <w:p w:rsidR="00582D35" w:rsidRDefault="00582D3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754" w:type="dxa"/>
          </w:tcPr>
          <w:p w:rsidR="00582D35" w:rsidRDefault="006A18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Проект № </w:t>
            </w:r>
            <w:r w:rsidR="00301F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165-пр</w:t>
            </w:r>
          </w:p>
          <w:p w:rsidR="00582D35" w:rsidRDefault="00582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</w:tc>
      </w:tr>
    </w:tbl>
    <w:p w:rsidR="00582D35" w:rsidRDefault="00582D3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82D35" w:rsidRDefault="00582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2D35" w:rsidRDefault="006A18EF">
      <w:pPr>
        <w:pStyle w:val="ConsPlusTitle"/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582D35" w:rsidRDefault="006A18EF">
      <w:pPr>
        <w:spacing w:after="0" w:line="240" w:lineRule="auto"/>
        <w:ind w:left="851" w:right="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закон Ненецкого автономного округа «О разграничении полномочий между органами государственной власти Ненецкого автономного округа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области обращения с отходами производства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 потребления»</w:t>
      </w:r>
    </w:p>
    <w:p w:rsidR="00582D35" w:rsidRDefault="006A18EF">
      <w:pPr>
        <w:pStyle w:val="ConsPlusNormal"/>
        <w:spacing w:before="800" w:after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___________2025 года</w:t>
      </w:r>
    </w:p>
    <w:p w:rsidR="00582D35" w:rsidRDefault="006A18EF">
      <w:pPr>
        <w:widowControl w:val="0"/>
        <w:spacing w:after="240" w:line="240" w:lineRule="auto"/>
        <w:ind w:firstLine="709"/>
        <w:jc w:val="both"/>
      </w:pPr>
      <w:bookmarkStart w:id="1" w:name="Par38"/>
      <w:bookmarkEnd w:id="1"/>
      <w:r>
        <w:rPr>
          <w:rFonts w:ascii="Times New Roman" w:eastAsia="Calibri" w:hAnsi="Times New Roman" w:cs="Times New Roman"/>
          <w:b/>
          <w:sz w:val="24"/>
          <w:szCs w:val="24"/>
        </w:rPr>
        <w:t>Статья 1</w:t>
      </w:r>
    </w:p>
    <w:p w:rsidR="00582D35" w:rsidRDefault="006A18EF">
      <w:pPr>
        <w:pStyle w:val="ac"/>
        <w:widowControl w:val="0"/>
        <w:spacing w:after="24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Внести в закон Ненецкого автономного округа от 30 мая 2016 года</w:t>
      </w:r>
      <w:r>
        <w:rPr>
          <w:rFonts w:ascii="Times New Roman" w:eastAsia="Calibri" w:hAnsi="Times New Roman" w:cs="Times New Roman"/>
          <w:sz w:val="24"/>
          <w:szCs w:val="24"/>
        </w:rPr>
        <w:br/>
        <w:t>№ 208-оз «О разграничении полномочий между органами государственной власти Ненецкого автономного округа в области обращения с отходами производства</w:t>
      </w:r>
      <w:r>
        <w:rPr>
          <w:rFonts w:ascii="Times New Roman" w:eastAsia="Calibri" w:hAnsi="Times New Roman" w:cs="Times New Roman"/>
          <w:sz w:val="24"/>
          <w:szCs w:val="24"/>
        </w:rPr>
        <w:br/>
        <w:t>и потребления» (в редакции закона округа от 26 апреля 2023 года № 405-оз) следующие изменения:</w:t>
      </w:r>
    </w:p>
    <w:p w:rsidR="00582D35" w:rsidRDefault="006A18EF">
      <w:pPr>
        <w:spacing w:after="240" w:line="32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1) пункты 1, 2, 5-8 статьи 5 признать утратившими силу;</w:t>
      </w:r>
    </w:p>
    <w:p w:rsidR="00582D35" w:rsidRDefault="006A18EF">
      <w:pPr>
        <w:spacing w:after="240" w:line="32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2) с</w:t>
      </w:r>
      <w:r>
        <w:rPr>
          <w:rFonts w:ascii="Times New Roman" w:eastAsia="Times New Roman" w:hAnsi="Times New Roman" w:cs="Times New Roman"/>
          <w:sz w:val="24"/>
          <w:szCs w:val="24"/>
        </w:rPr>
        <w:t>татью 6 изложить в следующей редакции:</w:t>
      </w:r>
    </w:p>
    <w:p w:rsidR="00582D35" w:rsidRDefault="006A18EF">
      <w:pPr>
        <w:spacing w:after="0" w:line="320" w:lineRule="exact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6. Полномочия исполнительного органа Ненецкого автономного округа в сфере охраны окружающей среды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полномочиям исполнительного органа Ненецкого автономного округа в сфере охраны окружающей среды в области обращения с отходами относятся: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проведение мероприятий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отходами;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разработка и реализация региональных программ в области обращения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отходами, в том числе с твердыми коммунальными отходами, участие в разработке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выполнении федеральных программ в области обращения с отходами;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 участие в организации обеспечения доступа к информации в области обращения с отходами; 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 осуществление приема отчетности об образовании, утилизации, обезвреживании, о размещении отходов от юридических лиц и индивидуальных предпринимателей, осуществляющих хозяйственную и (или) иную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объектах III категории, подлежащих региональному государственному экологическому контролю (надзору);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 установление порядка ведения регионального кадастра отходов и ведение регионального кадастра отходов;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6) определение в программах социально-экономического развития Ненецкого автономного округа прогнозных показателей и мероприятий по сокращению количества твердых коммунальных отходов, предназначенных для захоронения;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 утверждение инвестиционных программ в области обращения с твердыми коммунальными отходами;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 организация деятельности по накоплению (в том числе раздельному накоплению), сбору, транспортированию, обработке, утилизации, обезвреживанию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захоронению твердых коммунальных отходов;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 утверждение порядка накопления твердых коммунальных отходов (в том числе их раздельного накопления);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 регулирование деятельности региональных операторов, за исключением установления порядка проведения их конкурсного отбора;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11) проведение конкурсного отбора региональных операторов по обращению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твердыми коммунальными отходами в порядке, установленном Правительством Российской Федерации;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 разработка и утверждение территориальной схемы обращения с отходами;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13) определение способа расчета объема и (или) массы твердых коммунальных отходов в целях расчетов по договорам на оказание услуг по обращению с твердыми коммунальными отходами, утверждение порядка выбора способа расчета объема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(или) массы твердых коммунальных отходов в целях расчетов по договорам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оказание услуг по обращению с твердыми коммунальными отходами региональным оператором и (или) потребителем услуги по обращению с твердыми коммунальными отходами;</w:t>
      </w:r>
    </w:p>
    <w:p w:rsidR="00582D35" w:rsidRDefault="006A18EF">
      <w:pPr>
        <w:spacing w:after="240" w:line="32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14) размещение информации в Единой федеральной государственной информационной системе учета отходов от использования товаров.».</w:t>
      </w:r>
    </w:p>
    <w:p w:rsidR="00582D35" w:rsidRDefault="00582D35">
      <w:pPr>
        <w:spacing w:after="0"/>
        <w:ind w:firstLine="709"/>
        <w:jc w:val="both"/>
        <w:rPr>
          <w:rFonts w:ascii="XO Thames" w:hAnsi="XO Thames" w:cs="Times New Roman"/>
          <w:sz w:val="24"/>
          <w:szCs w:val="24"/>
        </w:rPr>
      </w:pPr>
    </w:p>
    <w:p w:rsidR="00582D35" w:rsidRDefault="006A18EF">
      <w:pPr>
        <w:pStyle w:val="af1"/>
        <w:spacing w:after="240" w:line="320" w:lineRule="exact"/>
        <w:ind w:left="0" w:firstLine="709"/>
        <w:contextualSpacing w:val="0"/>
        <w:jc w:val="both"/>
        <w:rPr>
          <w:rFonts w:ascii="XO Thames" w:hAnsi="XO Thames"/>
          <w:sz w:val="24"/>
          <w:szCs w:val="24"/>
        </w:rPr>
      </w:pPr>
      <w:r>
        <w:rPr>
          <w:rFonts w:ascii="XO Thames" w:eastAsia="Calibri" w:hAnsi="XO Thames" w:cs="Times New Roman"/>
          <w:b/>
          <w:sz w:val="24"/>
          <w:szCs w:val="24"/>
        </w:rPr>
        <w:t>Статья 2</w:t>
      </w:r>
    </w:p>
    <w:p w:rsidR="00582D35" w:rsidRDefault="006A18EF">
      <w:pPr>
        <w:pStyle w:val="ac"/>
        <w:spacing w:after="0"/>
        <w:ind w:firstLine="709"/>
        <w:contextualSpacing/>
        <w:jc w:val="both"/>
        <w:rPr>
          <w:rFonts w:ascii="XO Thames" w:hAnsi="XO Thames"/>
          <w:sz w:val="24"/>
          <w:szCs w:val="24"/>
        </w:rPr>
      </w:pPr>
      <w:r>
        <w:rPr>
          <w:rFonts w:ascii="XO Thames" w:eastAsia="Times New Roman" w:hAnsi="XO Thames" w:cs="Times New Roman"/>
          <w:sz w:val="24"/>
          <w:szCs w:val="24"/>
        </w:rPr>
        <w:t>Настоящий закон вступает в силу с 1 января 2026 года.</w:t>
      </w:r>
    </w:p>
    <w:p w:rsidR="00582D35" w:rsidRDefault="00582D35">
      <w:pPr>
        <w:spacing w:after="0"/>
        <w:ind w:firstLine="709"/>
        <w:contextualSpacing/>
        <w:jc w:val="both"/>
        <w:rPr>
          <w:rFonts w:ascii="XO Thames" w:eastAsia="Times New Roman" w:hAnsi="XO Thames" w:cs="Times New Roman"/>
          <w:sz w:val="24"/>
          <w:szCs w:val="24"/>
        </w:rPr>
      </w:pPr>
    </w:p>
    <w:p w:rsidR="00582D35" w:rsidRDefault="006A18EF">
      <w:pPr>
        <w:spacing w:after="0"/>
        <w:ind w:firstLine="709"/>
        <w:contextualSpacing/>
        <w:jc w:val="both"/>
        <w:rPr>
          <w:rFonts w:ascii="XO Thames" w:hAnsi="XO Thames"/>
        </w:rPr>
      </w:pPr>
      <w:r>
        <w:rPr>
          <w:rFonts w:ascii="XO Thames" w:eastAsia="Times New Roman" w:hAnsi="XO Thames" w:cs="Times New Roman"/>
          <w:sz w:val="24"/>
          <w:szCs w:val="24"/>
        </w:rPr>
        <w:t xml:space="preserve"> </w:t>
      </w:r>
      <w:r>
        <w:rPr>
          <w:rFonts w:ascii="XO Thames" w:eastAsia="Times New Roman" w:hAnsi="XO Thames" w:cs="Times New Roman"/>
          <w:sz w:val="24"/>
          <w:szCs w:val="24"/>
        </w:rPr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4"/>
        <w:gridCol w:w="4956"/>
      </w:tblGrid>
      <w:tr w:rsidR="00582D35">
        <w:tc>
          <w:tcPr>
            <w:tcW w:w="4114" w:type="dxa"/>
          </w:tcPr>
          <w:p w:rsidR="00582D35" w:rsidRDefault="006A18EF">
            <w:pPr>
              <w:widowControl w:val="0"/>
              <w:spacing w:after="0" w:line="240" w:lineRule="auto"/>
              <w:rPr>
                <w:rFonts w:ascii="XO Thames" w:hAnsi="XO Thames"/>
              </w:rPr>
            </w:pPr>
            <w:r>
              <w:rPr>
                <w:rFonts w:ascii="XO Thames" w:hAnsi="XO Thames" w:cs="Times New Roman"/>
                <w:b/>
                <w:sz w:val="24"/>
                <w:szCs w:val="24"/>
              </w:rPr>
              <w:t>Председатель Собрания депутатов</w:t>
            </w:r>
          </w:p>
          <w:p w:rsidR="00582D35" w:rsidRDefault="006A18EF">
            <w:pPr>
              <w:widowControl w:val="0"/>
              <w:spacing w:after="715" w:line="240" w:lineRule="auto"/>
              <w:rPr>
                <w:rFonts w:ascii="XO Thames" w:hAnsi="XO Thames"/>
              </w:rPr>
            </w:pPr>
            <w:r>
              <w:rPr>
                <w:rFonts w:ascii="XO Thames" w:hAnsi="XO Thames" w:cs="Times New Roman"/>
                <w:b/>
                <w:sz w:val="24"/>
                <w:szCs w:val="24"/>
              </w:rPr>
              <w:t>Ненецкого автономного округа</w:t>
            </w:r>
          </w:p>
          <w:p w:rsidR="00582D35" w:rsidRDefault="006A18EF">
            <w:pPr>
              <w:widowControl w:val="0"/>
              <w:spacing w:after="943" w:line="240" w:lineRule="auto"/>
              <w:ind w:right="714"/>
              <w:jc w:val="right"/>
              <w:rPr>
                <w:rFonts w:ascii="XO Thames" w:hAnsi="XO Thames"/>
              </w:rPr>
            </w:pPr>
            <w:r>
              <w:rPr>
                <w:rFonts w:ascii="XO Thames" w:hAnsi="XO Thames" w:cs="Times New Roman"/>
                <w:b/>
                <w:sz w:val="24"/>
                <w:szCs w:val="24"/>
              </w:rPr>
              <w:t>А.П. Чурсанов</w:t>
            </w:r>
          </w:p>
        </w:tc>
        <w:tc>
          <w:tcPr>
            <w:tcW w:w="4955" w:type="dxa"/>
          </w:tcPr>
          <w:p w:rsidR="00582D35" w:rsidRDefault="006A18EF">
            <w:pPr>
              <w:widowControl w:val="0"/>
              <w:spacing w:after="715" w:line="240" w:lineRule="auto"/>
              <w:ind w:left="1474"/>
            </w:pPr>
            <w:r>
              <w:rPr>
                <w:rFonts w:ascii="XO Thames" w:hAnsi="XO Thames" w:cs="Times New Roman"/>
                <w:b/>
                <w:sz w:val="24"/>
                <w:szCs w:val="24"/>
              </w:rPr>
              <w:t>Губернатор Ненецкого автономного округа</w:t>
            </w:r>
          </w:p>
          <w:p w:rsidR="00582D35" w:rsidRDefault="006A18EF">
            <w:pPr>
              <w:widowControl w:val="0"/>
              <w:spacing w:after="715" w:line="240" w:lineRule="auto"/>
              <w:ind w:left="261"/>
              <w:jc w:val="right"/>
              <w:rPr>
                <w:rFonts w:ascii="XO Thames" w:hAnsi="XO Thames"/>
              </w:rPr>
            </w:pPr>
            <w:r>
              <w:rPr>
                <w:rFonts w:ascii="XO Thames" w:hAnsi="XO Thames" w:cs="Times New Roman"/>
                <w:b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XO Thames" w:hAnsi="XO Thames" w:cs="Times New Roman"/>
                <w:b/>
                <w:sz w:val="24"/>
                <w:szCs w:val="24"/>
              </w:rPr>
              <w:t>Гехт</w:t>
            </w:r>
            <w:proofErr w:type="spellEnd"/>
          </w:p>
        </w:tc>
      </w:tr>
    </w:tbl>
    <w:p w:rsidR="00582D35" w:rsidRDefault="00582D35">
      <w:pPr>
        <w:spacing w:after="0" w:line="240" w:lineRule="auto"/>
        <w:rPr>
          <w:rFonts w:ascii="XO Thames" w:eastAsia="Times New Roman" w:hAnsi="XO Thames" w:cs="Times New Roman"/>
          <w:sz w:val="20"/>
          <w:szCs w:val="20"/>
        </w:rPr>
      </w:pPr>
    </w:p>
    <w:p w:rsidR="00582D35" w:rsidRDefault="006A18EF">
      <w:pPr>
        <w:spacing w:after="0" w:line="240" w:lineRule="auto"/>
        <w:rPr>
          <w:rFonts w:ascii="XO Thames" w:hAnsi="XO Thames"/>
        </w:rPr>
      </w:pPr>
      <w:r>
        <w:rPr>
          <w:rFonts w:ascii="XO Thames" w:eastAsia="Times New Roman" w:hAnsi="XO Thames" w:cs="Times New Roman"/>
          <w:sz w:val="24"/>
          <w:szCs w:val="24"/>
        </w:rPr>
        <w:t>г. Нарьян-Мар</w:t>
      </w:r>
    </w:p>
    <w:p w:rsidR="00582D35" w:rsidRDefault="006A18EF">
      <w:pPr>
        <w:spacing w:after="0" w:line="240" w:lineRule="auto"/>
        <w:rPr>
          <w:rFonts w:ascii="XO Thames" w:hAnsi="XO Thames"/>
        </w:rPr>
      </w:pPr>
      <w:r>
        <w:rPr>
          <w:rFonts w:ascii="XO Thames" w:eastAsia="Times New Roman" w:hAnsi="XO Thames" w:cs="Times New Roman"/>
          <w:sz w:val="24"/>
          <w:szCs w:val="24"/>
        </w:rPr>
        <w:t>«___» _________ 2025 года</w:t>
      </w:r>
    </w:p>
    <w:p w:rsidR="006A18EF" w:rsidRDefault="006A18EF">
      <w:pPr>
        <w:spacing w:after="0" w:line="240" w:lineRule="auto"/>
        <w:rPr>
          <w:rFonts w:ascii="XO Thames" w:hAnsi="XO Thames" w:cs="Times New Roman"/>
          <w:sz w:val="24"/>
          <w:szCs w:val="24"/>
        </w:rPr>
        <w:sectPr w:rsidR="006A18EF">
          <w:footerReference w:type="default" r:id="rId7"/>
          <w:footerReference w:type="first" r:id="rId8"/>
          <w:pgSz w:w="11906" w:h="16838"/>
          <w:pgMar w:top="1134" w:right="1418" w:bottom="1137" w:left="1418" w:header="0" w:footer="258" w:gutter="0"/>
          <w:cols w:space="720"/>
          <w:formProt w:val="0"/>
          <w:titlePg/>
          <w:docGrid w:linePitch="360" w:charSpace="8192"/>
        </w:sectPr>
      </w:pPr>
      <w:r>
        <w:rPr>
          <w:rFonts w:ascii="XO Thames" w:hAnsi="XO Thames" w:cs="Times New Roman"/>
          <w:sz w:val="24"/>
          <w:szCs w:val="24"/>
        </w:rPr>
        <w:t>№ ____-</w:t>
      </w:r>
      <w:proofErr w:type="spellStart"/>
      <w:r>
        <w:rPr>
          <w:rFonts w:ascii="XO Thames" w:hAnsi="XO Thames" w:cs="Times New Roman"/>
          <w:sz w:val="24"/>
          <w:szCs w:val="24"/>
        </w:rPr>
        <w:t>оз</w:t>
      </w:r>
      <w:proofErr w:type="spellEnd"/>
    </w:p>
    <w:p w:rsidR="006A18EF" w:rsidRPr="006A18EF" w:rsidRDefault="006A18EF" w:rsidP="006A18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A18E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Пояснительная записка </w:t>
      </w:r>
    </w:p>
    <w:p w:rsidR="006A18EF" w:rsidRPr="006A18EF" w:rsidRDefault="006A18EF" w:rsidP="006A18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18EF">
        <w:rPr>
          <w:rFonts w:ascii="Times New Roman" w:eastAsia="Times New Roman" w:hAnsi="Times New Roman" w:cs="Times New Roman"/>
          <w:b/>
          <w:sz w:val="26"/>
          <w:szCs w:val="26"/>
        </w:rPr>
        <w:t xml:space="preserve">к проекту закона Ненецкого автономного округа </w:t>
      </w:r>
      <w:r w:rsidRPr="006A18EF">
        <w:rPr>
          <w:rFonts w:ascii="Times New Roman" w:eastAsia="Times New Roman" w:hAnsi="Times New Roman" w:cs="Times New Roman"/>
          <w:b/>
          <w:sz w:val="26"/>
          <w:szCs w:val="26"/>
        </w:rPr>
        <w:br/>
        <w:t>«</w:t>
      </w:r>
      <w:r w:rsidRPr="006A18E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внесении изменений в закон Ненецкого автономного округа </w:t>
      </w:r>
      <w:r w:rsidRPr="006A18EF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 xml:space="preserve">«О разграничении полномочий между органами государственной власти </w:t>
      </w:r>
    </w:p>
    <w:p w:rsidR="006A18EF" w:rsidRPr="006A18EF" w:rsidRDefault="006A18EF" w:rsidP="006A18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18E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Ненецкого автономного округа в области обращения </w:t>
      </w:r>
      <w:r w:rsidRPr="006A18EF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с отходами производства и потребления»</w:t>
      </w:r>
    </w:p>
    <w:p w:rsidR="006A18EF" w:rsidRPr="006A18EF" w:rsidRDefault="006A18EF" w:rsidP="006A18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6A18EF" w:rsidRPr="006A18EF" w:rsidRDefault="006A18EF" w:rsidP="006A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8E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Субъект правотворческой инициативы: </w:t>
      </w:r>
      <w:r w:rsidRPr="006A18EF">
        <w:rPr>
          <w:rFonts w:ascii="Times New Roman" w:eastAsia="Times New Roman" w:hAnsi="Times New Roman" w:cs="Times New Roman"/>
          <w:bCs/>
          <w:sz w:val="26"/>
          <w:szCs w:val="26"/>
        </w:rPr>
        <w:t>губернатор Ненецкого автономного округа.</w:t>
      </w:r>
    </w:p>
    <w:p w:rsidR="006A18EF" w:rsidRPr="006A18EF" w:rsidRDefault="006A18EF" w:rsidP="006A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A18EF" w:rsidRPr="006A18EF" w:rsidRDefault="006A18EF" w:rsidP="006A18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8EF">
        <w:rPr>
          <w:rFonts w:ascii="Times New Roman" w:eastAsia="Times New Roman" w:hAnsi="Times New Roman" w:cs="Times New Roman"/>
          <w:b/>
          <w:sz w:val="26"/>
          <w:szCs w:val="26"/>
        </w:rPr>
        <w:t>Разработчик проекта:</w:t>
      </w:r>
      <w:r w:rsidRPr="006A18EF">
        <w:rPr>
          <w:rFonts w:ascii="Times New Roman" w:eastAsia="Times New Roman" w:hAnsi="Times New Roman" w:cs="Times New Roman"/>
          <w:sz w:val="26"/>
          <w:szCs w:val="26"/>
        </w:rPr>
        <w:t xml:space="preserve"> Департамент природных ресурсов, экологии </w:t>
      </w:r>
      <w:r w:rsidRPr="006A18EF">
        <w:rPr>
          <w:rFonts w:ascii="Times New Roman" w:eastAsia="Times New Roman" w:hAnsi="Times New Roman" w:cs="Times New Roman"/>
          <w:sz w:val="26"/>
          <w:szCs w:val="26"/>
        </w:rPr>
        <w:br/>
        <w:t>и агропромышленного комплекса Ненецкого автономного округа.</w:t>
      </w:r>
    </w:p>
    <w:p w:rsidR="006A18EF" w:rsidRPr="006A18EF" w:rsidRDefault="006A18EF" w:rsidP="006A18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18EF" w:rsidRPr="006A18EF" w:rsidRDefault="006A18EF" w:rsidP="006A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8EF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подпунктом 7 пункта 3 постановления Администрации Ненецкого автономного округа от 10.11.2025 № 275-п «Об исполнительных органах Ненецкого автономного округа» с 01.01.2026 Департаменту природных ресурсов, экологии </w:t>
      </w:r>
      <w:r w:rsidRPr="006A18EF">
        <w:rPr>
          <w:rFonts w:ascii="Times New Roman" w:eastAsia="Times New Roman" w:hAnsi="Times New Roman" w:cs="Times New Roman"/>
          <w:sz w:val="26"/>
          <w:szCs w:val="26"/>
        </w:rPr>
        <w:br/>
        <w:t>и агропромышленного комплекса Ненецкого автономного округа передаются в полном объеме полномочия Департамента строительства, жилищно-коммунального хозяйства, энергетики и транспорта Ненецкого автономного округа по нормативному правовому регулированию и реализации государственной политики в сфере обращения с отходами производства и потребления.</w:t>
      </w:r>
    </w:p>
    <w:p w:rsidR="006A18EF" w:rsidRPr="006A18EF" w:rsidRDefault="006A18EF" w:rsidP="006A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8EF">
        <w:rPr>
          <w:rFonts w:ascii="Times New Roman" w:eastAsia="Times New Roman" w:hAnsi="Times New Roman" w:cs="Times New Roman"/>
          <w:sz w:val="26"/>
          <w:szCs w:val="26"/>
        </w:rPr>
        <w:t xml:space="preserve">Полномочия субъектов Российской Федерации в области обращения с отходами установлены статьей 6 Федерального закона от 24.06.1998 № 89-ФЗ «Об отходах производства и потребления». </w:t>
      </w:r>
    </w:p>
    <w:p w:rsidR="006A18EF" w:rsidRPr="006A18EF" w:rsidRDefault="006A18EF" w:rsidP="006A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8EF">
        <w:rPr>
          <w:rFonts w:ascii="Times New Roman" w:eastAsia="Times New Roman" w:hAnsi="Times New Roman" w:cs="Times New Roman"/>
          <w:sz w:val="26"/>
          <w:szCs w:val="26"/>
        </w:rPr>
        <w:t xml:space="preserve">Департаментом природных ресурсов, экологии и агропромышленного комплекса Ненецкого автономного округа подготовлен проект закона, которым вносятся изменения </w:t>
      </w:r>
      <w:r w:rsidRPr="006A18EF">
        <w:rPr>
          <w:rFonts w:ascii="Times New Roman" w:eastAsia="Times New Roman" w:hAnsi="Times New Roman" w:cs="Times New Roman"/>
          <w:sz w:val="26"/>
          <w:szCs w:val="26"/>
        </w:rPr>
        <w:br/>
        <w:t xml:space="preserve">в закон Ненецкого автономного округа от 30.05.2016 № 208-оз «О разграничении полномочий между органами государственной власти Ненецкого автономного округа </w:t>
      </w:r>
      <w:r w:rsidRPr="006A18EF">
        <w:rPr>
          <w:rFonts w:ascii="Times New Roman" w:eastAsia="Times New Roman" w:hAnsi="Times New Roman" w:cs="Times New Roman"/>
          <w:sz w:val="26"/>
          <w:szCs w:val="26"/>
        </w:rPr>
        <w:br/>
        <w:t>в области обращения с отходами производства и потребления» (далее – закон № 208-оз).</w:t>
      </w:r>
    </w:p>
    <w:p w:rsidR="006A18EF" w:rsidRPr="006A18EF" w:rsidRDefault="006A18EF" w:rsidP="006A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8EF">
        <w:rPr>
          <w:rFonts w:ascii="Times New Roman" w:eastAsia="Times New Roman" w:hAnsi="Times New Roman" w:cs="Times New Roman"/>
          <w:sz w:val="26"/>
          <w:szCs w:val="26"/>
        </w:rPr>
        <w:t xml:space="preserve">Проект закона согласован с Управлением по государственному регулированию </w:t>
      </w:r>
      <w:r w:rsidRPr="006A18EF">
        <w:rPr>
          <w:rFonts w:ascii="Times New Roman" w:eastAsia="Times New Roman" w:hAnsi="Times New Roman" w:cs="Times New Roman"/>
          <w:sz w:val="26"/>
          <w:szCs w:val="26"/>
        </w:rPr>
        <w:br/>
        <w:t xml:space="preserve">цен (тарифов) Ненецкого автономного округа без замечаний и предложений, Департамент строительства, жилищно-коммунального хозяйства, энергетики и транспорта Ненецкого автономного округа в своем письме от 20.11.2025 № 6758 просит сохранить за ними полномочие по установлению нормативов накопления твердых коммунальных отходов </w:t>
      </w:r>
      <w:r w:rsidRPr="006A18EF">
        <w:rPr>
          <w:rFonts w:ascii="Times New Roman" w:eastAsia="Times New Roman" w:hAnsi="Times New Roman" w:cs="Times New Roman"/>
          <w:sz w:val="26"/>
          <w:szCs w:val="26"/>
        </w:rPr>
        <w:br/>
        <w:t>в связи с особенностями бюджетного планирования и проведения закупочных процедур.</w:t>
      </w:r>
    </w:p>
    <w:p w:rsidR="006A18EF" w:rsidRPr="006A18EF" w:rsidRDefault="006A18EF" w:rsidP="006A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8EF"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 проектом закона предлагается пункты 1, 2, 5–8 статьи 5 закона № 208-оз признать утратившими силу, а статью 6 изложить в новой редакции, дополнив имеющиеся полномочия Департамента природных ресурсов, экологии </w:t>
      </w:r>
      <w:r w:rsidRPr="006A18EF">
        <w:rPr>
          <w:rFonts w:ascii="Times New Roman" w:eastAsia="Times New Roman" w:hAnsi="Times New Roman" w:cs="Times New Roman"/>
          <w:sz w:val="26"/>
          <w:szCs w:val="26"/>
        </w:rPr>
        <w:br/>
        <w:t xml:space="preserve">и агропромышленного комплекса Ненецкого автономного округа в области обращения </w:t>
      </w:r>
      <w:r w:rsidRPr="006A18EF">
        <w:rPr>
          <w:rFonts w:ascii="Times New Roman" w:eastAsia="Times New Roman" w:hAnsi="Times New Roman" w:cs="Times New Roman"/>
          <w:sz w:val="26"/>
          <w:szCs w:val="26"/>
        </w:rPr>
        <w:br/>
        <w:t xml:space="preserve">с отходами полномочиями из статьи 5 закона № 208-оз, за исключением полномочия </w:t>
      </w:r>
      <w:r w:rsidRPr="006A18EF">
        <w:rPr>
          <w:rFonts w:ascii="Times New Roman" w:eastAsia="Times New Roman" w:hAnsi="Times New Roman" w:cs="Times New Roman"/>
          <w:sz w:val="26"/>
          <w:szCs w:val="26"/>
        </w:rPr>
        <w:br/>
        <w:t>по установлению нормативов накопления твердых коммунальных отходов.</w:t>
      </w:r>
    </w:p>
    <w:p w:rsidR="006A18EF" w:rsidRPr="006A18EF" w:rsidRDefault="006A18EF" w:rsidP="006A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8EF">
        <w:rPr>
          <w:rFonts w:ascii="Times New Roman" w:eastAsia="Times New Roman" w:hAnsi="Times New Roman" w:cs="Times New Roman"/>
          <w:sz w:val="26"/>
          <w:szCs w:val="26"/>
        </w:rPr>
        <w:t xml:space="preserve">Кроме того, в связи с принятием Федерального закона от 08.08.2024 № 296-ФЗ </w:t>
      </w:r>
      <w:r w:rsidRPr="006A18EF">
        <w:rPr>
          <w:rFonts w:ascii="Times New Roman" w:eastAsia="Times New Roman" w:hAnsi="Times New Roman" w:cs="Times New Roman"/>
          <w:sz w:val="26"/>
          <w:szCs w:val="26"/>
        </w:rPr>
        <w:br/>
        <w:t xml:space="preserve">«О внесении изменений в Федеральный закон «Об отходах производства и потребления» </w:t>
      </w:r>
      <w:r w:rsidRPr="006A18EF">
        <w:rPr>
          <w:rFonts w:ascii="Times New Roman" w:eastAsia="Times New Roman" w:hAnsi="Times New Roman" w:cs="Times New Roman"/>
          <w:sz w:val="26"/>
          <w:szCs w:val="26"/>
        </w:rPr>
        <w:br/>
        <w:t xml:space="preserve">и отдельные законодательные акты Российской Федерации» абзацы восьмой и двадцатый статьи 6 Федерального закона от 24.06.1998 № 89-ФЗ «Об отходах производства </w:t>
      </w:r>
      <w:r w:rsidRPr="006A18EF">
        <w:rPr>
          <w:rFonts w:ascii="Times New Roman" w:eastAsia="Times New Roman" w:hAnsi="Times New Roman" w:cs="Times New Roman"/>
          <w:sz w:val="26"/>
          <w:szCs w:val="26"/>
        </w:rPr>
        <w:br/>
        <w:t xml:space="preserve">и потребления», признаны утратившими силу с 1 марта 2025 года, соответственно, данные полномочия не включены в новую редакцию статьи 6 закона № 208-оз. </w:t>
      </w:r>
    </w:p>
    <w:p w:rsidR="006A18EF" w:rsidRPr="006A18EF" w:rsidRDefault="006A18EF" w:rsidP="006A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8EF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Проект закона не затрагивает вопросы осуществления предпринимательской </w:t>
      </w:r>
      <w:r w:rsidRPr="006A18EF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и инвестиционной деятельности, не подлежит оценке регулирующего воздействия.</w:t>
      </w:r>
    </w:p>
    <w:p w:rsidR="006A18EF" w:rsidRPr="006A18EF" w:rsidRDefault="006A18EF" w:rsidP="006A18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8EF">
        <w:rPr>
          <w:rFonts w:ascii="Times New Roman" w:eastAsia="Times New Roman" w:hAnsi="Times New Roman" w:cs="Times New Roman"/>
          <w:sz w:val="26"/>
          <w:szCs w:val="26"/>
        </w:rPr>
        <w:t>Принятие проекта не оказывает влияния на окружной бюджет и бюджеты муниципальных образований.</w:t>
      </w:r>
    </w:p>
    <w:p w:rsidR="00924D68" w:rsidRDefault="00924D68">
      <w:pPr>
        <w:spacing w:after="0" w:line="240" w:lineRule="auto"/>
        <w:rPr>
          <w:rFonts w:ascii="XO Thames" w:hAnsi="XO Thames"/>
        </w:rPr>
        <w:sectPr w:rsidR="00924D68" w:rsidSect="00D839DE">
          <w:headerReference w:type="defaul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60"/>
        </w:sectPr>
      </w:pPr>
    </w:p>
    <w:p w:rsidR="00582D35" w:rsidRDefault="00924D68">
      <w:pPr>
        <w:spacing w:after="0" w:line="240" w:lineRule="auto"/>
        <w:rPr>
          <w:rFonts w:ascii="XO Thames" w:hAnsi="XO Thames"/>
        </w:rPr>
      </w:pPr>
      <w:r>
        <w:rPr>
          <w:noProof/>
        </w:rPr>
        <w:lastRenderedPageBreak/>
        <w:drawing>
          <wp:inline distT="0" distB="0" distL="0" distR="0" wp14:anchorId="42115982" wp14:editId="64A7CA9D">
            <wp:extent cx="6480175" cy="91579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5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2D35" w:rsidSect="00D839DE"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FA" w:rsidRDefault="006A18EF">
      <w:pPr>
        <w:spacing w:after="0" w:line="240" w:lineRule="auto"/>
      </w:pPr>
      <w:r>
        <w:separator/>
      </w:r>
    </w:p>
  </w:endnote>
  <w:endnote w:type="continuationSeparator" w:id="0">
    <w:p w:rsidR="00041CFA" w:rsidRDefault="006A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708511"/>
      <w:docPartObj>
        <w:docPartGallery w:val="Page Numbers (Bottom of Page)"/>
        <w:docPartUnique/>
      </w:docPartObj>
    </w:sdtPr>
    <w:sdtEndPr/>
    <w:sdtContent>
      <w:p w:rsidR="00582D35" w:rsidRDefault="006A18E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5FFF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2694372"/>
      <w:docPartObj>
        <w:docPartGallery w:val="Page Numbers (Bottom of Page)"/>
        <w:docPartUnique/>
      </w:docPartObj>
    </w:sdtPr>
    <w:sdtEndPr/>
    <w:sdtContent>
      <w:p w:rsidR="00582D35" w:rsidRDefault="00165FF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FA" w:rsidRDefault="006A18EF">
      <w:pPr>
        <w:spacing w:after="0" w:line="240" w:lineRule="auto"/>
      </w:pPr>
      <w:r>
        <w:separator/>
      </w:r>
    </w:p>
  </w:footnote>
  <w:footnote w:type="continuationSeparator" w:id="0">
    <w:p w:rsidR="00041CFA" w:rsidRDefault="006A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09B" w:rsidRDefault="006A18EF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165FFF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35"/>
    <w:rsid w:val="00041CFA"/>
    <w:rsid w:val="00165FFF"/>
    <w:rsid w:val="00301FC2"/>
    <w:rsid w:val="00582D35"/>
    <w:rsid w:val="006A18EF"/>
    <w:rsid w:val="009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8782D-0BBE-4BD8-982A-2466CF1F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934AF"/>
  </w:style>
  <w:style w:type="character" w:customStyle="1" w:styleId="a5">
    <w:name w:val="Нижний колонтитул Знак"/>
    <w:basedOn w:val="a0"/>
    <w:link w:val="a6"/>
    <w:uiPriority w:val="99"/>
    <w:qFormat/>
    <w:rsid w:val="005934AF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5C364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qFormat/>
    <w:rsid w:val="00225F41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225F41"/>
    <w:rPr>
      <w:sz w:val="20"/>
      <w:szCs w:val="20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onsPlusNormal">
    <w:name w:val="ConsPlusNormal"/>
    <w:qFormat/>
    <w:rsid w:val="002642C6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qFormat/>
    <w:rsid w:val="002642C6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qFormat/>
    <w:rsid w:val="002642C6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5038DD"/>
    <w:pPr>
      <w:ind w:left="720"/>
      <w:contextualSpacing/>
    </w:pPr>
  </w:style>
  <w:style w:type="paragraph" w:styleId="ab">
    <w:name w:val="annotation text"/>
    <w:basedOn w:val="a"/>
    <w:link w:val="aa"/>
    <w:uiPriority w:val="99"/>
    <w:semiHidden/>
    <w:unhideWhenUsed/>
    <w:qFormat/>
    <w:rsid w:val="00225F41"/>
    <w:pPr>
      <w:spacing w:after="0" w:line="240" w:lineRule="auto"/>
    </w:pPr>
    <w:rPr>
      <w:sz w:val="20"/>
      <w:szCs w:val="20"/>
    </w:rPr>
  </w:style>
  <w:style w:type="table" w:customStyle="1" w:styleId="10">
    <w:name w:val="Сетка таблицы1"/>
    <w:basedOn w:val="a1"/>
    <w:uiPriority w:val="59"/>
    <w:rsid w:val="002E1CE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A40C-2156-4769-BFED-991DCD06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okaneva</dc:creator>
  <dc:description/>
  <cp:lastModifiedBy>Людмила Александровна Карпушева</cp:lastModifiedBy>
  <cp:revision>5</cp:revision>
  <cp:lastPrinted>2020-04-14T06:30:00Z</cp:lastPrinted>
  <dcterms:created xsi:type="dcterms:W3CDTF">2025-12-09T07:38:00Z</dcterms:created>
  <dcterms:modified xsi:type="dcterms:W3CDTF">2025-12-09T13:06:00Z</dcterms:modified>
  <dc:language>ru-RU</dc:language>
</cp:coreProperties>
</file>