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0E" w:rsidRPr="00D11ED4" w:rsidRDefault="0013570E" w:rsidP="0013570E">
      <w:pPr>
        <w:jc w:val="center"/>
        <w:rPr>
          <w:b/>
          <w:szCs w:val="26"/>
        </w:rPr>
      </w:pPr>
      <w:r w:rsidRPr="00D11ED4">
        <w:rPr>
          <w:b/>
          <w:szCs w:val="26"/>
        </w:rPr>
        <w:t xml:space="preserve">Пояснительная записка </w:t>
      </w:r>
    </w:p>
    <w:p w:rsidR="0013570E" w:rsidRPr="00D11ED4" w:rsidRDefault="0013570E" w:rsidP="0013570E">
      <w:pPr>
        <w:jc w:val="center"/>
        <w:rPr>
          <w:b/>
          <w:szCs w:val="26"/>
        </w:rPr>
      </w:pPr>
      <w:r w:rsidRPr="00D11ED4">
        <w:rPr>
          <w:b/>
          <w:szCs w:val="26"/>
        </w:rPr>
        <w:t>к проекту закона Ненецкого автономного округа</w:t>
      </w:r>
    </w:p>
    <w:p w:rsidR="007E13AE" w:rsidRDefault="007E13AE" w:rsidP="0013570E">
      <w:pPr>
        <w:jc w:val="center"/>
        <w:rPr>
          <w:b/>
          <w:szCs w:val="26"/>
          <w:lang w:bidi="ru-RU"/>
        </w:rPr>
      </w:pPr>
      <w:r w:rsidRPr="007E13AE">
        <w:rPr>
          <w:b/>
          <w:szCs w:val="26"/>
          <w:lang w:bidi="ru-RU"/>
        </w:rPr>
        <w:t xml:space="preserve">«О внесении изменений в закон Ненецкого автономного округа </w:t>
      </w:r>
    </w:p>
    <w:p w:rsidR="003A1643" w:rsidRPr="00D11ED4" w:rsidRDefault="007E13AE" w:rsidP="0013570E">
      <w:pPr>
        <w:jc w:val="center"/>
        <w:rPr>
          <w:b/>
          <w:szCs w:val="26"/>
        </w:rPr>
      </w:pPr>
      <w:r w:rsidRPr="007E13AE">
        <w:rPr>
          <w:b/>
          <w:szCs w:val="26"/>
          <w:lang w:bidi="ru-RU"/>
        </w:rPr>
        <w:t>«О нормативах отчислений от налогов в бюджеты муниципальных образований Ненецкого автономного округа»</w:t>
      </w:r>
    </w:p>
    <w:p w:rsidR="003A1643" w:rsidRPr="00D11ED4" w:rsidRDefault="003A1643" w:rsidP="003A1643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13570E" w:rsidRPr="002937EC" w:rsidRDefault="0013570E" w:rsidP="0013570E">
      <w:pPr>
        <w:ind w:firstLine="709"/>
        <w:jc w:val="both"/>
        <w:rPr>
          <w:szCs w:val="26"/>
        </w:rPr>
      </w:pPr>
      <w:r w:rsidRPr="002937EC">
        <w:rPr>
          <w:szCs w:val="26"/>
        </w:rPr>
        <w:t>Субъект правотворческой инициативы: губернатор Ненецкого автономного округа.</w:t>
      </w:r>
    </w:p>
    <w:p w:rsidR="0013570E" w:rsidRDefault="0013570E" w:rsidP="0013570E">
      <w:pPr>
        <w:ind w:firstLine="709"/>
        <w:jc w:val="both"/>
        <w:rPr>
          <w:szCs w:val="26"/>
        </w:rPr>
      </w:pPr>
      <w:r w:rsidRPr="002937EC">
        <w:rPr>
          <w:szCs w:val="26"/>
        </w:rPr>
        <w:t>Разработчик проекта:</w:t>
      </w:r>
      <w:r w:rsidRPr="00D11ED4">
        <w:rPr>
          <w:szCs w:val="26"/>
        </w:rPr>
        <w:t xml:space="preserve"> Департамент финансов и экономики Ненецкого автономного округа.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Проект закона Ненецкого автономного округа «О внесении изменений в закон Ненецкого автономного округа «О нормативах отчислений от налогов в бюджеты муниципальных образований Ненецкого автономного округа» (далее - Законопроект) подготовлен в целях изменения статьи 1 закона Ненецкого автономного округа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>от 31.10.2013 № 91-оз «О нормативах отчислений от налогов в бюджеты муниципальных образований Ненецкого автономного округа» (далее - Закон № 91-оз) в части единых нормативов отчислений от налога на доходы физических лиц, подлежащего зачислению в бюджет Ненецкого автономного округа,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трудовой деятельности на основании патента: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>- от налога на доходы физических лиц (за исключением налога на доходы физических лиц в отношении доходов, указанных в абзацах тридцать пятом, тридцать шестом, тридцать девятом и пятьдесят седьмом статьи 50 Бюджетного кодекса Российской Федерации);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превышающей 312 тысяч рублей, относящейся к части налоговой базы, превышающей </w:t>
      </w:r>
      <w:r w:rsidRPr="007E13AE">
        <w:rPr>
          <w:szCs w:val="26"/>
          <w:lang w:bidi="ru-RU"/>
        </w:rPr>
        <w:br/>
        <w:t xml:space="preserve">2,4 миллиона рублей и составляющей не более 5 миллионов рублей (за исключением налога на доходы физических лиц в отношении доходов, указанных в пункте </w:t>
      </w:r>
      <w:r w:rsidRPr="007E13AE">
        <w:rPr>
          <w:szCs w:val="26"/>
          <w:lang w:bidi="ru-RU"/>
        </w:rPr>
        <w:br/>
        <w:t>6 Законопроекта);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превышающей 702 тысячи рублей, относящейся к части налоговой базы, превышающей </w:t>
      </w:r>
      <w:r w:rsidRPr="007E13AE">
        <w:rPr>
          <w:szCs w:val="26"/>
          <w:lang w:bidi="ru-RU"/>
        </w:rPr>
        <w:br/>
        <w:t>5 миллионов рублей и составляющей не более 20 миллионов рублей (за исключением налога на доходы физических лиц в отношении доходов, указанных в пункте 6 Законопроекта);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превышающей </w:t>
      </w:r>
      <w:r w:rsidRPr="007E13AE">
        <w:rPr>
          <w:szCs w:val="26"/>
          <w:lang w:bidi="ru-RU"/>
        </w:rPr>
        <w:br/>
        <w:t xml:space="preserve">3 402 тысячи рублей, относящейся к части налоговой базы, превышающей </w:t>
      </w:r>
      <w:r w:rsidRPr="007E13AE">
        <w:rPr>
          <w:szCs w:val="26"/>
          <w:lang w:bidi="ru-RU"/>
        </w:rPr>
        <w:br/>
        <w:t xml:space="preserve">20 миллионов рублей и составляющей не более 50 миллионов рублей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>(за исключением налога на доходы физических лиц в отношении доходов, указанных в пункте 6 Законопроекта);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превышающей </w:t>
      </w:r>
      <w:r w:rsidRPr="007E13AE">
        <w:rPr>
          <w:szCs w:val="26"/>
          <w:lang w:bidi="ru-RU"/>
        </w:rPr>
        <w:br/>
        <w:t xml:space="preserve">9 402 тысячи рублей, относящейся к части налоговой базы, превышающей </w:t>
      </w:r>
      <w:r w:rsidRPr="007E13AE">
        <w:rPr>
          <w:szCs w:val="26"/>
          <w:lang w:bidi="ru-RU"/>
        </w:rPr>
        <w:br/>
        <w:t xml:space="preserve">50 миллионов рублей (за исключением налога на доходы физических лиц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>в отношении доходов, указанных в пункте 6 Законопроекта);</w:t>
      </w:r>
    </w:p>
    <w:p w:rsidR="00CD779A" w:rsidRDefault="007E13AE" w:rsidP="007E13AE">
      <w:pPr>
        <w:ind w:firstLine="709"/>
        <w:jc w:val="both"/>
        <w:rPr>
          <w:szCs w:val="26"/>
          <w:lang w:bidi="ru-RU"/>
        </w:rPr>
        <w:sectPr w:rsidR="00CD779A" w:rsidSect="009520DE">
          <w:headerReference w:type="default" r:id="rId8"/>
          <w:type w:val="continuous"/>
          <w:pgSz w:w="11907" w:h="16840" w:code="9"/>
          <w:pgMar w:top="1134" w:right="708" w:bottom="851" w:left="1701" w:header="568" w:footer="720" w:gutter="0"/>
          <w:cols w:space="720"/>
          <w:titlePg/>
          <w:docGrid w:linePitch="354"/>
        </w:sectPr>
      </w:pPr>
      <w:r w:rsidRPr="007E13AE">
        <w:rPr>
          <w:szCs w:val="26"/>
          <w:lang w:bidi="ru-RU"/>
        </w:rPr>
        <w:t xml:space="preserve">- </w:t>
      </w:r>
      <w:r w:rsidR="002937EC">
        <w:rPr>
          <w:szCs w:val="26"/>
          <w:lang w:bidi="ru-RU"/>
        </w:rPr>
        <w:t xml:space="preserve">от </w:t>
      </w:r>
      <w:r w:rsidRPr="007E13AE">
        <w:rPr>
          <w:szCs w:val="26"/>
          <w:lang w:bidi="ru-RU"/>
        </w:rPr>
        <w:t xml:space="preserve">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</w:t>
      </w:r>
    </w:p>
    <w:p w:rsidR="007E13AE" w:rsidRPr="007E13AE" w:rsidRDefault="007E13AE" w:rsidP="00CD779A">
      <w:pPr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в абзацах тридцать пятом и тридцать шестом статьи 50 Бюджетного кодекса </w:t>
      </w:r>
      <w:r w:rsidRPr="007E13AE">
        <w:rPr>
          <w:szCs w:val="26"/>
          <w:lang w:bidi="ru-RU"/>
        </w:rPr>
        <w:lastRenderedPageBreak/>
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относящейся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 xml:space="preserve">к сумме налоговых баз, указанных в пункте 6.1 статьи 210 Налогового кодекса Российской Федерации, а также налога на доходы физических лиц в части суммы налога, относящейся к налоговой базе, указанной в пункте 6.2 статьи 210 Налогового кодекса Российской Федерации (за исключением налога на доходы физических лиц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>в отношении доходов, указанных в пункте 8 Законопроекта);</w:t>
      </w:r>
    </w:p>
    <w:p w:rsidR="007E13AE" w:rsidRPr="007E13AE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- от налога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а также налога на доходы физических лиц в части суммы налога, превышающей </w:t>
      </w:r>
      <w:r w:rsidR="002937EC">
        <w:rPr>
          <w:szCs w:val="26"/>
          <w:lang w:bidi="ru-RU"/>
        </w:rPr>
        <w:br/>
      </w:r>
      <w:r w:rsidRPr="007E13AE">
        <w:rPr>
          <w:szCs w:val="26"/>
          <w:lang w:bidi="ru-RU"/>
        </w:rPr>
        <w:t>650 тысяч рублей, относящейся к налоговой базе, указанной в пункте 6.2 статьи 210 Налогового кодекса Российской Федерации, превышающей 5 миллионов рублей.</w:t>
      </w:r>
    </w:p>
    <w:p w:rsidR="007E13AE" w:rsidRPr="00D11ED4" w:rsidRDefault="007E13AE" w:rsidP="007E13AE">
      <w:pPr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 xml:space="preserve">Бюджетным кодексом Российской Федерации (далее – БК РФ) предусмотрено распределение налоговых доходов от федеральных налогов и сборов, в том числе предусмотренных специальными налоговыми режимами, подлежащих зачислению </w:t>
      </w:r>
      <w:r w:rsidRPr="007E13AE">
        <w:rPr>
          <w:szCs w:val="26"/>
          <w:lang w:bidi="ru-RU"/>
        </w:rPr>
        <w:br/>
        <w:t>в бюджеты субъектов Российской Федерации с установлением соответствующих нормативов зачислений (статья 56 БК РФ). К таким налоговым доходам относится также налог на доходы физических лиц (далее – НДФЛ).</w:t>
      </w:r>
    </w:p>
    <w:p w:rsidR="00D11ED4" w:rsidRPr="007E13AE" w:rsidRDefault="00D11ED4" w:rsidP="00D11ED4">
      <w:pPr>
        <w:ind w:firstLine="709"/>
        <w:jc w:val="both"/>
        <w:rPr>
          <w:szCs w:val="26"/>
        </w:rPr>
      </w:pPr>
      <w:r w:rsidRPr="007E13AE">
        <w:rPr>
          <w:szCs w:val="26"/>
        </w:rPr>
        <w:t xml:space="preserve">Федеральным законом от 12 июля 2024 г. № 176-ФЗ «О внесении изменений </w:t>
      </w:r>
      <w:r w:rsidRPr="007E13AE">
        <w:rPr>
          <w:szCs w:val="26"/>
        </w:rPr>
        <w:br/>
        <w:t>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176-ФЗ) с 1 января 2025 г. введена пятиступенчатая прогрессивная шкала по НДФЛ.</w:t>
      </w:r>
    </w:p>
    <w:p w:rsidR="00D11ED4" w:rsidRPr="007E13AE" w:rsidRDefault="00D11ED4" w:rsidP="00D11ED4">
      <w:pPr>
        <w:ind w:firstLine="709"/>
        <w:jc w:val="both"/>
        <w:rPr>
          <w:szCs w:val="26"/>
        </w:rPr>
      </w:pPr>
      <w:r w:rsidRPr="007E13AE">
        <w:rPr>
          <w:szCs w:val="26"/>
        </w:rPr>
        <w:t xml:space="preserve">Федеральным законом от 13 июля 2024 г. № 177-ФЗ «О внесении изменений </w:t>
      </w:r>
      <w:r w:rsidRPr="007E13AE">
        <w:rPr>
          <w:szCs w:val="26"/>
        </w:rPr>
        <w:br/>
        <w:t>в Бюджетный кодекс Российской Федерации и отдельные законодательные акты Российской Федерации» (далее – Федеральный закон № 177-ФЗ) с 1 января 2025 г. предусмотрено распределение налоговых доходов от НДФЛ между бюджетами бюджетной системы Российской Федерации с учетом указанной прогрессивной шкалы по НДФЛ.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  <w:lang w:bidi="ru-RU"/>
        </w:rPr>
      </w:pPr>
      <w:r w:rsidRPr="007E13AE">
        <w:rPr>
          <w:szCs w:val="26"/>
          <w:lang w:bidi="ru-RU"/>
        </w:rPr>
        <w:t>Дополнительным соглашением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</w:t>
      </w:r>
      <w:r w:rsidR="002937EC">
        <w:rPr>
          <w:szCs w:val="26"/>
          <w:lang w:bidi="ru-RU"/>
        </w:rPr>
        <w:t xml:space="preserve">ъектов Российской Федерации от </w:t>
      </w:r>
      <w:r w:rsidRPr="007E13AE">
        <w:rPr>
          <w:szCs w:val="26"/>
          <w:lang w:bidi="ru-RU"/>
        </w:rPr>
        <w:t>5 июня 2014 года (далее - Дополнительное соглашение, Договор) внесены изменения в пункт 1 статьи 3 Договора в части корректировки норматива зачисления налогового дохода по налогу на доходы физических лиц: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 xml:space="preserve">1) исключение норматива по НДФЛ в части суммы налога, превышающей </w:t>
      </w:r>
      <w:r w:rsidRPr="007E13AE">
        <w:rPr>
          <w:szCs w:val="26"/>
        </w:rPr>
        <w:br/>
        <w:t>650 тысяч рублей, относящейся к части налоговой базы, превышающей 5 миллионов рублей;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>2) установление новых нормативов зачисления в бюджет Ненецкого автономного округа налоговых доходов по НДФЛ в части суммы налога: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 xml:space="preserve">превышающей 312 тысяч рублей, относящейся к части налоговой базы, превышающей 2,4 миллиона рублей и составляющей не более 5 миллионов рублей </w:t>
      </w:r>
      <w:r w:rsidRPr="007E13AE">
        <w:rPr>
          <w:szCs w:val="26"/>
        </w:rPr>
        <w:br/>
        <w:t>(за исключением НДФЛ в отношении доходов, указанных в абзаце шестьдесят седьмом пункта 2 статьи 56 БК РФ), – по нормативу 43,525 процента;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lastRenderedPageBreak/>
        <w:t>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НДФЛ в отношении доходов, указанных в абзаце шестьдесят седьмом пункта 2 статьи 56 БК РФ), – по нормативу 35,9 процента;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>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НДФЛ в отношении доходов, указанных в абзаце шестьдесят седьмом пункта 2 статьи 56 БК РФ), – по нормативу 32,375 процента;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>превышающей 9 402 тысячи рублей, относящейся к части налоговой базы, превышающей 50 миллионов рублей (за исключением НДФЛ в отношении доходов, указанных в абзаце шестьдесят седьмом пункта 2 статьи 56 БК РФ), – по нормативу 30 процентов;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 xml:space="preserve">превышающей 312 тысяч рублей, относящейся к сумме налоговых баз, указанных в пункте 6 статьи 210 Налогового кодекса Российской Федерации (далее – НК РФ), превышающей 2,4 миллиона рублей (за исключением НДФЛ в отношении доходов, указанных в абзацах тридцать пятом и тридцать шестом статьи 50 БК РФ), </w:t>
      </w:r>
      <w:r w:rsidR="002937EC">
        <w:rPr>
          <w:szCs w:val="26"/>
        </w:rPr>
        <w:br/>
      </w:r>
      <w:r w:rsidRPr="007E13AE">
        <w:rPr>
          <w:szCs w:val="26"/>
        </w:rPr>
        <w:t xml:space="preserve">а также НДФЛ в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налога, превышающей 312 тысяч рублей, относящейся к части налоговой базы, превышающей миллиона рублей, - по нормативу 43,525 процента; </w:t>
      </w:r>
    </w:p>
    <w:p w:rsidR="007E13AE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 xml:space="preserve">относящейся к сумме налоговых баз, указанных в пункте 6.1 статьи 210 НК РФ, а также НДФЛ в части суммы налога, относящейся к налоговой базе, указанной </w:t>
      </w:r>
      <w:r w:rsidRPr="007E13AE">
        <w:rPr>
          <w:szCs w:val="26"/>
        </w:rPr>
        <w:br/>
        <w:t>в пункте 6.2 статьи 210 НК РФ (за исключением НДФЛ в отношении доходов, указанных в абзаце шестьдесят девятом пункта 2 статьи 56 БК РФ), – по нормативу 50 процентов;</w:t>
      </w:r>
    </w:p>
    <w:p w:rsidR="00D11ED4" w:rsidRPr="007E13AE" w:rsidRDefault="007E13AE" w:rsidP="007E13AE">
      <w:pPr>
        <w:spacing w:line="233" w:lineRule="auto"/>
        <w:ind w:firstLine="709"/>
        <w:jc w:val="both"/>
        <w:rPr>
          <w:szCs w:val="26"/>
        </w:rPr>
      </w:pPr>
      <w:r w:rsidRPr="007E13AE">
        <w:rPr>
          <w:szCs w:val="26"/>
        </w:rPr>
        <w:t xml:space="preserve">превышающей 650 тысяч рублей, относящейся к сумме налоговых баз, указанных в пункте 6.1 статьи 210 НК РФ, превышающей 5 миллионов рублей, </w:t>
      </w:r>
      <w:r w:rsidRPr="007E13AE">
        <w:rPr>
          <w:szCs w:val="26"/>
        </w:rPr>
        <w:br/>
        <w:t xml:space="preserve">а также НДФЛ в части суммы налога, превышающей 650 тысяч рублей, относящейся к налоговой базе, указанной в пункте 6.2 статьи 210 НК РФ, превышающей </w:t>
      </w:r>
      <w:r w:rsidRPr="007E13AE">
        <w:rPr>
          <w:szCs w:val="26"/>
        </w:rPr>
        <w:br/>
        <w:t>5 миллионов рублей, – по нормативу 43,525 процента.</w:t>
      </w:r>
    </w:p>
    <w:p w:rsidR="0096640D" w:rsidRDefault="00772BBC" w:rsidP="0096640D">
      <w:pPr>
        <w:ind w:firstLine="709"/>
        <w:jc w:val="both"/>
        <w:rPr>
          <w:spacing w:val="-4"/>
          <w:szCs w:val="26"/>
        </w:rPr>
      </w:pPr>
      <w:r w:rsidRPr="00772BBC">
        <w:rPr>
          <w:szCs w:val="26"/>
        </w:rPr>
        <w:t xml:space="preserve">Дополнительным соглашением предусмотрено, что налоговые доходы </w:t>
      </w:r>
      <w:r w:rsidR="002937EC">
        <w:rPr>
          <w:szCs w:val="26"/>
        </w:rPr>
        <w:br/>
      </w:r>
      <w:r w:rsidRPr="00772BBC">
        <w:rPr>
          <w:szCs w:val="26"/>
        </w:rPr>
        <w:t xml:space="preserve">от НДФЛ, зачисляемые в бюджет Ненецкого автономного округа </w:t>
      </w:r>
      <w:r w:rsidRPr="00772BBC">
        <w:rPr>
          <w:szCs w:val="26"/>
        </w:rPr>
        <w:br/>
        <w:t xml:space="preserve">по нормативам, указанным в Договоре, включают налоговые доходы от НДФЛ </w:t>
      </w:r>
      <w:r w:rsidRPr="00772BBC">
        <w:rPr>
          <w:szCs w:val="26"/>
        </w:rPr>
        <w:br/>
        <w:t xml:space="preserve">по нормативу, указанному в пункте 3 статьи 58 БК РФ (не менее 15 процентов налоговых доходов консолидированного бюджета субъекта Российской Федерации </w:t>
      </w:r>
      <w:r w:rsidRPr="00772BBC">
        <w:rPr>
          <w:szCs w:val="26"/>
        </w:rPr>
        <w:br/>
        <w:t xml:space="preserve">от указанного налога), подлежащие зачислению в бюджет Ненецкого автономного округа, передаваемые в полном объеме органами государственной власти Ненецкого автономного округа в соответствующие местные бюджеты в порядке, </w:t>
      </w:r>
      <w:r w:rsidRPr="00772BBC">
        <w:rPr>
          <w:spacing w:val="-4"/>
          <w:szCs w:val="26"/>
        </w:rPr>
        <w:t>предусмотренном статьей 58 БК РФ.</w:t>
      </w:r>
    </w:p>
    <w:p w:rsidR="00CD779A" w:rsidRDefault="0096640D" w:rsidP="0096640D">
      <w:pPr>
        <w:ind w:firstLine="709"/>
        <w:jc w:val="both"/>
        <w:rPr>
          <w:spacing w:val="-4"/>
          <w:szCs w:val="26"/>
        </w:rPr>
        <w:sectPr w:rsidR="00CD779A" w:rsidSect="00CD779A">
          <w:pgSz w:w="11907" w:h="16840" w:code="9"/>
          <w:pgMar w:top="1134" w:right="708" w:bottom="851" w:left="1701" w:header="568" w:footer="720" w:gutter="0"/>
          <w:cols w:space="720"/>
          <w:titlePg/>
          <w:docGrid w:linePitch="354"/>
        </w:sectPr>
      </w:pPr>
      <w:r w:rsidRPr="0096640D">
        <w:rPr>
          <w:spacing w:val="-4"/>
          <w:szCs w:val="26"/>
        </w:rPr>
        <w:t xml:space="preserve">При определении размеров указанных в договоре нормативов за основу взят предусмотренный подпунктами 3 и 3.1 пункта 1 статьи 3 Договора подход </w:t>
      </w:r>
      <w:r w:rsidRPr="0096640D">
        <w:rPr>
          <w:spacing w:val="-4"/>
          <w:szCs w:val="26"/>
        </w:rPr>
        <w:br/>
        <w:t xml:space="preserve">в части установления размера норматива зачисления налогового дохода по НДФЛ. При этом в данном расчете учтены положения абзаца второго пункта 4 статьи 56 </w:t>
      </w:r>
      <w:r w:rsidRPr="0096640D">
        <w:rPr>
          <w:spacing w:val="-4"/>
          <w:szCs w:val="26"/>
        </w:rPr>
        <w:br/>
        <w:t xml:space="preserve">БК РФ, согласно которому если иное не установлено федеральным законом </w:t>
      </w:r>
      <w:r w:rsidRPr="0096640D">
        <w:rPr>
          <w:spacing w:val="-4"/>
          <w:szCs w:val="26"/>
        </w:rPr>
        <w:br/>
        <w:t xml:space="preserve">о федеральном бюджете и договором между органами государственной власти края (области), в состав которого входит автономный округ, и органами государственной власти соответствующего автономного округа, налоговые доходы, указанные </w:t>
      </w:r>
      <w:r w:rsidRPr="0096640D">
        <w:rPr>
          <w:spacing w:val="-4"/>
          <w:szCs w:val="26"/>
        </w:rPr>
        <w:br/>
      </w:r>
    </w:p>
    <w:p w:rsidR="0096640D" w:rsidRPr="0096640D" w:rsidRDefault="0096640D" w:rsidP="00CD779A">
      <w:pPr>
        <w:jc w:val="both"/>
        <w:rPr>
          <w:spacing w:val="-4"/>
          <w:szCs w:val="26"/>
        </w:rPr>
      </w:pPr>
      <w:bookmarkStart w:id="0" w:name="_GoBack"/>
      <w:bookmarkEnd w:id="0"/>
      <w:r w:rsidRPr="0096640D">
        <w:rPr>
          <w:spacing w:val="-4"/>
          <w:szCs w:val="26"/>
        </w:rPr>
        <w:t xml:space="preserve">в пункте 2 статьи 56 БК РФ, подлежат зачислению в бюджет края (области), </w:t>
      </w:r>
      <w:r w:rsidRPr="0096640D">
        <w:rPr>
          <w:spacing w:val="-4"/>
          <w:szCs w:val="26"/>
        </w:rPr>
        <w:br/>
        <w:t xml:space="preserve">за исключением НДФЛ по нормативу 15 процентов, подлежащего зачислению </w:t>
      </w:r>
      <w:r w:rsidRPr="0096640D">
        <w:rPr>
          <w:spacing w:val="-4"/>
          <w:szCs w:val="26"/>
        </w:rPr>
        <w:br/>
        <w:t xml:space="preserve">в бюджет автономного округа, передаваемого в полном объеме органами государственной власти автономного округа в соответствующие местные бюджеты </w:t>
      </w:r>
      <w:r w:rsidRPr="0096640D">
        <w:rPr>
          <w:spacing w:val="-4"/>
          <w:szCs w:val="26"/>
        </w:rPr>
        <w:br/>
        <w:t>в порядке, предусмотренном статьей 58 БК РФ.</w:t>
      </w:r>
    </w:p>
    <w:p w:rsidR="0096640D" w:rsidRPr="0096640D" w:rsidRDefault="0096640D" w:rsidP="0096640D">
      <w:pPr>
        <w:ind w:firstLine="709"/>
        <w:jc w:val="both"/>
        <w:rPr>
          <w:spacing w:val="-4"/>
          <w:szCs w:val="26"/>
        </w:rPr>
      </w:pPr>
      <w:r w:rsidRPr="0096640D">
        <w:rPr>
          <w:spacing w:val="-4"/>
          <w:szCs w:val="26"/>
        </w:rPr>
        <w:t xml:space="preserve">Таким образом, к примеру, размер норматива зачисления в бюджет Ненецкого автономного округа налогового дохода по НДФЛ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НДФЛ </w:t>
      </w:r>
      <w:r w:rsidRPr="0096640D">
        <w:rPr>
          <w:spacing w:val="-4"/>
          <w:szCs w:val="26"/>
        </w:rPr>
        <w:br/>
        <w:t>в отношении доходов, указанных в абзаце шестьдесят седьмом пункта 2 статьи 56 БК РФ), составляет 43,525 процента ((74 % - 13,05 %) / 2 +13,05 %), где:</w:t>
      </w:r>
    </w:p>
    <w:p w:rsidR="0096640D" w:rsidRPr="0096640D" w:rsidRDefault="0096640D" w:rsidP="0096640D">
      <w:pPr>
        <w:ind w:firstLine="709"/>
        <w:jc w:val="both"/>
        <w:rPr>
          <w:spacing w:val="-4"/>
          <w:szCs w:val="26"/>
        </w:rPr>
      </w:pPr>
      <w:r w:rsidRPr="0096640D">
        <w:rPr>
          <w:spacing w:val="-4"/>
          <w:szCs w:val="26"/>
        </w:rPr>
        <w:t xml:space="preserve">74 процента – это норматив зачисления в бюджет субъекта Российской Федерации налогового дохода по НДФЛ в части суммы налога, превышающей </w:t>
      </w:r>
      <w:r w:rsidRPr="0096640D">
        <w:rPr>
          <w:spacing w:val="-4"/>
          <w:szCs w:val="26"/>
        </w:rPr>
        <w:br/>
        <w:t xml:space="preserve">312 тысяч рублей, относящейся к части налоговой базы, превышающей 2,4 миллиона рублей и составляющей не более 5 миллионов рублей (за исключением НДФЛ </w:t>
      </w:r>
      <w:r w:rsidRPr="0096640D">
        <w:rPr>
          <w:spacing w:val="-4"/>
          <w:szCs w:val="26"/>
        </w:rPr>
        <w:br/>
        <w:t>в отношении доходов, указанных в абзаце шестьдесят седьмом пункта 2 статьи 56 БК РФ);</w:t>
      </w:r>
    </w:p>
    <w:p w:rsidR="0096640D" w:rsidRPr="0096640D" w:rsidRDefault="0096640D" w:rsidP="0096640D">
      <w:pPr>
        <w:ind w:firstLine="709"/>
        <w:jc w:val="both"/>
        <w:rPr>
          <w:spacing w:val="-4"/>
          <w:szCs w:val="26"/>
        </w:rPr>
      </w:pPr>
      <w:r w:rsidRPr="0096640D">
        <w:rPr>
          <w:spacing w:val="-4"/>
          <w:szCs w:val="26"/>
        </w:rPr>
        <w:t>13,05 процент</w:t>
      </w:r>
      <w:r w:rsidR="002937EC">
        <w:rPr>
          <w:spacing w:val="-4"/>
          <w:szCs w:val="26"/>
        </w:rPr>
        <w:t>ов</w:t>
      </w:r>
      <w:r w:rsidRPr="0096640D">
        <w:rPr>
          <w:spacing w:val="-4"/>
          <w:szCs w:val="26"/>
        </w:rPr>
        <w:t xml:space="preserve"> – норматив отчислений, передаваемых в полном объеме органами государственной власти Ненецкого автономного округа в местные бюджеты от НДФЛ, исходя из зачисления в местные бюджеты 15 процентов налоговых доходов консолидированного бюджета субъекта Российской Федерации от указанного налога, рассчитанный в соответствии с пунктом 3 статьи 58 БК РФ (15% х 87% : 100, где </w:t>
      </w:r>
      <w:r w:rsidRPr="0096640D">
        <w:rPr>
          <w:spacing w:val="-4"/>
          <w:szCs w:val="26"/>
        </w:rPr>
        <w:br/>
        <w:t xml:space="preserve">15 процентов – норматив зачисления налогового дохода по НДФЛ по Договору </w:t>
      </w:r>
      <w:r w:rsidRPr="0096640D">
        <w:rPr>
          <w:spacing w:val="-4"/>
          <w:szCs w:val="26"/>
        </w:rPr>
        <w:br/>
        <w:t xml:space="preserve">в бюджет Ненецкого автономного округа, передаваемого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РФ, 87 процентов – норматив зачисления в консолидированный бюджет субъекта Российской Федерации налогового дохода по НДФЛ в части суммы налога, превышающей 312 тысяч рублей, относящейся к части налоговой базы, превышающей 2,4 миллиона рублей </w:t>
      </w:r>
      <w:r w:rsidRPr="0096640D">
        <w:rPr>
          <w:spacing w:val="-4"/>
          <w:szCs w:val="26"/>
        </w:rPr>
        <w:br/>
        <w:t>и составляющей не более 5 миллионов рублей (за исключением НДФЛ в отношении доходов, указанных в абзаце шестьдесят седьмом пункта 2 статьи 56 БК РФ).</w:t>
      </w:r>
    </w:p>
    <w:p w:rsidR="0096640D" w:rsidRDefault="0096640D" w:rsidP="0096640D">
      <w:pPr>
        <w:ind w:firstLine="709"/>
        <w:jc w:val="both"/>
        <w:rPr>
          <w:spacing w:val="-4"/>
          <w:szCs w:val="26"/>
        </w:rPr>
      </w:pPr>
      <w:r w:rsidRPr="0096640D">
        <w:rPr>
          <w:spacing w:val="-4"/>
          <w:szCs w:val="26"/>
        </w:rPr>
        <w:t>Расчет остальных нормативов осуществлен единообразно с учетом предусмотренных БК РФ (в редакции Федерального закона № 177-ФЗ) различных нормативов зачисления налогового дохода по НДФЛ в консолидированный бюджет субъекта Российской Федерации.</w:t>
      </w:r>
    </w:p>
    <w:p w:rsidR="00B20217" w:rsidRPr="0096640D" w:rsidRDefault="00B20217" w:rsidP="0096640D">
      <w:pPr>
        <w:ind w:firstLine="709"/>
        <w:jc w:val="both"/>
        <w:rPr>
          <w:spacing w:val="-4"/>
          <w:szCs w:val="26"/>
        </w:rPr>
      </w:pPr>
      <w:r>
        <w:rPr>
          <w:spacing w:val="-4"/>
          <w:szCs w:val="26"/>
        </w:rPr>
        <w:t>Дополнительные доходы, возникшие в связи с введением прогрессивной шкалы налоговой ставки (выше 13%), будут направляться в федеральный бюджет.</w:t>
      </w:r>
    </w:p>
    <w:p w:rsidR="0096640D" w:rsidRPr="0096640D" w:rsidRDefault="0096640D" w:rsidP="0096640D">
      <w:pPr>
        <w:ind w:firstLine="709"/>
        <w:jc w:val="both"/>
        <w:rPr>
          <w:spacing w:val="-4"/>
          <w:szCs w:val="26"/>
          <w:lang w:bidi="ru-RU"/>
        </w:rPr>
      </w:pPr>
      <w:r w:rsidRPr="0096640D">
        <w:rPr>
          <w:spacing w:val="-4"/>
          <w:szCs w:val="26"/>
          <w:lang w:bidi="ru-RU"/>
        </w:rPr>
        <w:t>В таблице приведено распределение нормативов налога на доходы физических лиц, подлежащий зачислению в бюджеты бюджетной системы Российской Федерации.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55"/>
        <w:gridCol w:w="1134"/>
        <w:gridCol w:w="1418"/>
        <w:gridCol w:w="1417"/>
        <w:gridCol w:w="1276"/>
        <w:gridCol w:w="1276"/>
      </w:tblGrid>
      <w:tr w:rsidR="0096640D" w:rsidRPr="0096640D" w:rsidTr="00944AE0">
        <w:tc>
          <w:tcPr>
            <w:tcW w:w="1830" w:type="dxa"/>
            <w:vMerge w:val="restart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по БК РФ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по БК в рамках Договора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по БК 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</w:p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</w:p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Итого</w:t>
            </w:r>
          </w:p>
        </w:tc>
      </w:tr>
      <w:tr w:rsidR="0096640D" w:rsidRPr="0096640D" w:rsidTr="00944AE0">
        <w:tc>
          <w:tcPr>
            <w:tcW w:w="1830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ФБ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 xml:space="preserve">Бюджет </w:t>
            </w:r>
            <w:proofErr w:type="spellStart"/>
            <w:r w:rsidRPr="0096640D">
              <w:rPr>
                <w:rFonts w:eastAsia="Calibri"/>
                <w:szCs w:val="26"/>
              </w:rPr>
              <w:t>Арх.обл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</w:rPr>
            </w:pPr>
            <w:r w:rsidRPr="0096640D">
              <w:rPr>
                <w:rFonts w:eastAsia="Calibri"/>
                <w:i/>
                <w:szCs w:val="26"/>
              </w:rPr>
              <w:t>Консолидированный бюджет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</w:p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Местные бюджеты</w:t>
            </w:r>
          </w:p>
        </w:tc>
        <w:tc>
          <w:tcPr>
            <w:tcW w:w="1276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</w:tr>
      <w:tr w:rsidR="0096640D" w:rsidRPr="0096640D" w:rsidTr="00944AE0">
        <w:tc>
          <w:tcPr>
            <w:tcW w:w="1830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Окружной бюджет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Местные бюджеты</w:t>
            </w:r>
          </w:p>
        </w:tc>
        <w:tc>
          <w:tcPr>
            <w:tcW w:w="1276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(за исключением НДФЛ в отношении доходов, указанных в абз.35, 36, 39 и 57 ст. 50 БК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свыше 312,0 тыс. руб.-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30,475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  <w:lang w:val="en-US"/>
              </w:rPr>
              <w:t>30</w:t>
            </w:r>
            <w:r w:rsidRPr="0096640D">
              <w:rPr>
                <w:rFonts w:eastAsia="Calibri"/>
                <w:szCs w:val="26"/>
              </w:rPr>
              <w:t>,475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13,05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свыше 702,0 тыс. руб.-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25,1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25,1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10,8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свыше 3 402,0 тыс. руб.-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22,625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22,625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9,75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свыше 9 402,0 тыс. руб.-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 xml:space="preserve">НДФЛ свыше 312,0 тыс. </w:t>
            </w:r>
            <w:proofErr w:type="spellStart"/>
            <w:r w:rsidRPr="0096640D">
              <w:rPr>
                <w:rFonts w:eastAsia="Calibri"/>
                <w:b/>
                <w:szCs w:val="26"/>
              </w:rPr>
              <w:t>руб</w:t>
            </w:r>
            <w:proofErr w:type="spellEnd"/>
            <w:r w:rsidRPr="0096640D">
              <w:rPr>
                <w:rFonts w:eastAsia="Calibri"/>
                <w:b/>
                <w:szCs w:val="26"/>
              </w:rPr>
              <w:t xml:space="preserve"> (п.6 ст.210, п.3, ст.224 НК РФ-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30,475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  <w:lang w:val="en-US"/>
              </w:rPr>
              <w:t>30</w:t>
            </w:r>
            <w:r w:rsidRPr="0096640D">
              <w:rPr>
                <w:rFonts w:eastAsia="Calibri"/>
                <w:szCs w:val="26"/>
              </w:rPr>
              <w:t>,475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13,05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>НДФЛ (п.6.1, п.6.2 ст.210, НК РФ-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  <w:tr w:rsidR="0096640D" w:rsidRPr="0096640D" w:rsidTr="00944AE0">
        <w:tc>
          <w:tcPr>
            <w:tcW w:w="1830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rPr>
                <w:rFonts w:eastAsia="Calibri"/>
                <w:b/>
                <w:szCs w:val="26"/>
              </w:rPr>
            </w:pPr>
            <w:r w:rsidRPr="0096640D">
              <w:rPr>
                <w:rFonts w:eastAsia="Calibri"/>
                <w:b/>
                <w:szCs w:val="26"/>
              </w:rPr>
              <w:t xml:space="preserve">НДФЛ свыше 650,0 тыс. </w:t>
            </w:r>
            <w:proofErr w:type="spellStart"/>
            <w:r w:rsidRPr="0096640D">
              <w:rPr>
                <w:rFonts w:eastAsia="Calibri"/>
                <w:b/>
                <w:szCs w:val="26"/>
              </w:rPr>
              <w:t>руб</w:t>
            </w:r>
            <w:proofErr w:type="spellEnd"/>
            <w:r w:rsidRPr="0096640D">
              <w:rPr>
                <w:rFonts w:eastAsia="Calibri"/>
                <w:b/>
                <w:szCs w:val="26"/>
              </w:rPr>
              <w:t xml:space="preserve"> (п.6.1, п. 6.2 ст.210, НК РФ- с 01.01.2025</w:t>
            </w:r>
          </w:p>
        </w:tc>
        <w:tc>
          <w:tcPr>
            <w:tcW w:w="1255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30,475</w:t>
            </w:r>
          </w:p>
        </w:tc>
        <w:tc>
          <w:tcPr>
            <w:tcW w:w="1418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30,475</w:t>
            </w:r>
          </w:p>
        </w:tc>
        <w:tc>
          <w:tcPr>
            <w:tcW w:w="1417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13,05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6640D" w:rsidRPr="0096640D" w:rsidRDefault="0096640D" w:rsidP="00966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96640D">
              <w:rPr>
                <w:rFonts w:eastAsia="Calibri"/>
                <w:szCs w:val="26"/>
              </w:rPr>
              <w:t>100</w:t>
            </w:r>
          </w:p>
        </w:tc>
      </w:tr>
    </w:tbl>
    <w:p w:rsidR="0096640D" w:rsidRPr="0096640D" w:rsidRDefault="0096640D" w:rsidP="0096640D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 w:rsidRPr="0096640D">
        <w:rPr>
          <w:szCs w:val="26"/>
        </w:rPr>
        <w:t xml:space="preserve">                                                                     Закон НАО от</w:t>
      </w:r>
    </w:p>
    <w:p w:rsidR="0096640D" w:rsidRPr="0096640D" w:rsidRDefault="0096640D" w:rsidP="0096640D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 w:rsidRPr="0096640D">
        <w:rPr>
          <w:szCs w:val="26"/>
        </w:rPr>
        <w:t xml:space="preserve">                                                                      31.10.2013г.</w:t>
      </w:r>
    </w:p>
    <w:p w:rsidR="0096640D" w:rsidRDefault="0096640D" w:rsidP="0096640D">
      <w:pPr>
        <w:ind w:firstLine="709"/>
        <w:jc w:val="both"/>
        <w:rPr>
          <w:spacing w:val="-4"/>
          <w:szCs w:val="26"/>
        </w:rPr>
      </w:pPr>
      <w:r w:rsidRPr="0096640D">
        <w:rPr>
          <w:szCs w:val="26"/>
        </w:rPr>
        <w:t xml:space="preserve">                                                                       </w:t>
      </w:r>
      <w:r>
        <w:rPr>
          <w:szCs w:val="26"/>
          <w:lang w:val="en-US"/>
        </w:rPr>
        <w:t xml:space="preserve">                         </w:t>
      </w:r>
      <w:r w:rsidRPr="0096640D">
        <w:rPr>
          <w:szCs w:val="26"/>
        </w:rPr>
        <w:t>№91-оз</w:t>
      </w:r>
    </w:p>
    <w:p w:rsidR="0096640D" w:rsidRPr="0096640D" w:rsidRDefault="0096640D" w:rsidP="0096640D">
      <w:pPr>
        <w:ind w:firstLine="709"/>
        <w:jc w:val="both"/>
        <w:rPr>
          <w:spacing w:val="-4"/>
          <w:szCs w:val="26"/>
        </w:rPr>
      </w:pPr>
    </w:p>
    <w:p w:rsidR="003B713A" w:rsidRDefault="003B713A" w:rsidP="007914D9">
      <w:pPr>
        <w:ind w:firstLine="709"/>
        <w:jc w:val="both"/>
        <w:rPr>
          <w:szCs w:val="26"/>
        </w:rPr>
      </w:pPr>
      <w:r>
        <w:rPr>
          <w:szCs w:val="26"/>
        </w:rPr>
        <w:t>Подробное распределение нормативов налога на доходы физических ли</w:t>
      </w:r>
      <w:r w:rsidR="00FF3811">
        <w:rPr>
          <w:szCs w:val="26"/>
        </w:rPr>
        <w:t>ц</w:t>
      </w:r>
      <w:r>
        <w:rPr>
          <w:szCs w:val="26"/>
        </w:rPr>
        <w:t xml:space="preserve"> представлено в Таблице 1 к Пояснительной записке.</w:t>
      </w:r>
    </w:p>
    <w:p w:rsidR="007914D9" w:rsidRPr="007914D9" w:rsidRDefault="007914D9" w:rsidP="007914D9">
      <w:pPr>
        <w:ind w:firstLine="709"/>
        <w:jc w:val="both"/>
        <w:rPr>
          <w:szCs w:val="26"/>
        </w:rPr>
      </w:pPr>
      <w:r w:rsidRPr="007914D9">
        <w:rPr>
          <w:szCs w:val="26"/>
        </w:rPr>
        <w:t xml:space="preserve">Согласно Законопроекта его положения распространяются </w:t>
      </w:r>
      <w:r w:rsidRPr="007914D9">
        <w:rPr>
          <w:szCs w:val="26"/>
        </w:rPr>
        <w:br/>
        <w:t>на правоотношения, возникшие при исполнении бюджета с 1 января 2025 г.</w:t>
      </w:r>
    </w:p>
    <w:p w:rsidR="007914D9" w:rsidRPr="007914D9" w:rsidRDefault="007914D9" w:rsidP="007914D9">
      <w:pPr>
        <w:ind w:firstLine="709"/>
        <w:jc w:val="both"/>
        <w:rPr>
          <w:szCs w:val="26"/>
        </w:rPr>
      </w:pPr>
      <w:r w:rsidRPr="007914D9">
        <w:rPr>
          <w:szCs w:val="26"/>
          <w:lang w:bidi="ru-RU"/>
        </w:rPr>
        <w:t>Принятие законопроекта не повлечет увеличения расходных обязательств Ненецкого автономного округа, не потребует дополнительных материальных затрат из окружного бюджета.</w:t>
      </w:r>
    </w:p>
    <w:p w:rsidR="007914D9" w:rsidRPr="007914D9" w:rsidRDefault="007914D9" w:rsidP="007914D9">
      <w:pPr>
        <w:ind w:firstLine="709"/>
        <w:jc w:val="both"/>
        <w:rPr>
          <w:szCs w:val="26"/>
          <w:lang w:bidi="ru-RU"/>
        </w:rPr>
      </w:pPr>
      <w:r w:rsidRPr="007914D9">
        <w:rPr>
          <w:szCs w:val="26"/>
          <w:lang w:bidi="ru-RU"/>
        </w:rPr>
        <w:t>Для реализации законопроекта не потребуется принятие или признание утратившими силу иных нормативных правовых актов, а также внесение изменений в иные нормативные правовые акты.</w:t>
      </w:r>
    </w:p>
    <w:p w:rsidR="007914D9" w:rsidRPr="007914D9" w:rsidRDefault="007914D9" w:rsidP="007914D9">
      <w:pPr>
        <w:ind w:firstLine="709"/>
        <w:jc w:val="both"/>
        <w:rPr>
          <w:szCs w:val="26"/>
          <w:lang w:bidi="ru-RU"/>
        </w:rPr>
      </w:pPr>
      <w:r w:rsidRPr="007914D9">
        <w:rPr>
          <w:szCs w:val="26"/>
          <w:lang w:bidi="ru-RU"/>
        </w:rPr>
        <w:t>Принятие данного закона не затронет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D11ED4" w:rsidRPr="002937EC" w:rsidRDefault="007914D9" w:rsidP="007914D9">
      <w:pPr>
        <w:spacing w:line="235" w:lineRule="auto"/>
        <w:ind w:firstLine="709"/>
        <w:jc w:val="both"/>
        <w:rPr>
          <w:szCs w:val="26"/>
        </w:rPr>
      </w:pPr>
      <w:r w:rsidRPr="007914D9">
        <w:rPr>
          <w:szCs w:val="26"/>
        </w:rPr>
        <w:t xml:space="preserve">Принятие законопроекта не потребует внесения изменений в закон Ненецкого автономного округа от 15.12.2023 № 16-оз «Об окружном бюджете на 2024 год </w:t>
      </w:r>
      <w:r w:rsidR="002937EC">
        <w:rPr>
          <w:szCs w:val="26"/>
        </w:rPr>
        <w:br/>
      </w:r>
      <w:r w:rsidRPr="007914D9">
        <w:rPr>
          <w:szCs w:val="26"/>
        </w:rPr>
        <w:t xml:space="preserve">и на плановый период 2025 и 2026 годов» в связи с разработкой нового проекта </w:t>
      </w:r>
      <w:r w:rsidRPr="002937EC">
        <w:rPr>
          <w:szCs w:val="26"/>
        </w:rPr>
        <w:t>закона Ненецкого автономного округа на очередной финансовый год и на плановый период.</w:t>
      </w:r>
      <w:r w:rsidR="00D11ED4" w:rsidRPr="002937EC">
        <w:rPr>
          <w:szCs w:val="26"/>
        </w:rPr>
        <w:t xml:space="preserve"> </w:t>
      </w:r>
    </w:p>
    <w:p w:rsidR="005E16A3" w:rsidRPr="002937EC" w:rsidRDefault="005E16A3" w:rsidP="003A1643">
      <w:pPr>
        <w:ind w:firstLine="709"/>
        <w:jc w:val="both"/>
        <w:rPr>
          <w:szCs w:val="26"/>
        </w:rPr>
      </w:pPr>
    </w:p>
    <w:sectPr w:rsidR="005E16A3" w:rsidRPr="002937EC" w:rsidSect="00CD779A">
      <w:pgSz w:w="11907" w:h="16840" w:code="9"/>
      <w:pgMar w:top="1134" w:right="708" w:bottom="851" w:left="1701" w:header="568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57" w:rsidRDefault="00E92057" w:rsidP="0044079A">
      <w:r>
        <w:separator/>
      </w:r>
    </w:p>
  </w:endnote>
  <w:endnote w:type="continuationSeparator" w:id="0">
    <w:p w:rsidR="00E92057" w:rsidRDefault="00E92057" w:rsidP="004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57" w:rsidRDefault="00E92057" w:rsidP="0044079A">
      <w:r>
        <w:separator/>
      </w:r>
    </w:p>
  </w:footnote>
  <w:footnote w:type="continuationSeparator" w:id="0">
    <w:p w:rsidR="00E92057" w:rsidRDefault="00E92057" w:rsidP="0044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9A" w:rsidRPr="0044079A" w:rsidRDefault="0044079A">
    <w:pPr>
      <w:pStyle w:val="a5"/>
      <w:jc w:val="center"/>
      <w:rPr>
        <w:sz w:val="22"/>
        <w:szCs w:val="22"/>
      </w:rPr>
    </w:pPr>
    <w:r w:rsidRPr="0044079A">
      <w:rPr>
        <w:sz w:val="22"/>
        <w:szCs w:val="22"/>
      </w:rPr>
      <w:fldChar w:fldCharType="begin"/>
    </w:r>
    <w:r w:rsidRPr="0044079A">
      <w:rPr>
        <w:sz w:val="22"/>
        <w:szCs w:val="22"/>
      </w:rPr>
      <w:instrText>PAGE   \* MERGEFORMAT</w:instrText>
    </w:r>
    <w:r w:rsidRPr="0044079A">
      <w:rPr>
        <w:sz w:val="22"/>
        <w:szCs w:val="22"/>
      </w:rPr>
      <w:fldChar w:fldCharType="separate"/>
    </w:r>
    <w:r w:rsidR="00CD779A">
      <w:rPr>
        <w:noProof/>
        <w:sz w:val="22"/>
        <w:szCs w:val="22"/>
      </w:rPr>
      <w:t>6</w:t>
    </w:r>
    <w:r w:rsidRPr="0044079A">
      <w:rPr>
        <w:sz w:val="22"/>
        <w:szCs w:val="22"/>
      </w:rPr>
      <w:fldChar w:fldCharType="end"/>
    </w:r>
  </w:p>
  <w:p w:rsidR="0044079A" w:rsidRDefault="004407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0527"/>
    <w:multiLevelType w:val="multilevel"/>
    <w:tmpl w:val="C14C29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7E36F67"/>
    <w:multiLevelType w:val="hybridMultilevel"/>
    <w:tmpl w:val="47643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B5"/>
    <w:rsid w:val="00001AFE"/>
    <w:rsid w:val="00002F21"/>
    <w:rsid w:val="0000634D"/>
    <w:rsid w:val="000153AB"/>
    <w:rsid w:val="0003016F"/>
    <w:rsid w:val="00033612"/>
    <w:rsid w:val="00034F66"/>
    <w:rsid w:val="00035805"/>
    <w:rsid w:val="00041AC3"/>
    <w:rsid w:val="00044001"/>
    <w:rsid w:val="00061831"/>
    <w:rsid w:val="00066C26"/>
    <w:rsid w:val="0007079B"/>
    <w:rsid w:val="0008760C"/>
    <w:rsid w:val="000920AB"/>
    <w:rsid w:val="0009387E"/>
    <w:rsid w:val="000A4FA7"/>
    <w:rsid w:val="000A73AA"/>
    <w:rsid w:val="000B7F6F"/>
    <w:rsid w:val="000C5A1F"/>
    <w:rsid w:val="000C5FC2"/>
    <w:rsid w:val="000D3A72"/>
    <w:rsid w:val="000D7F96"/>
    <w:rsid w:val="000E19AD"/>
    <w:rsid w:val="000E202A"/>
    <w:rsid w:val="000E22EB"/>
    <w:rsid w:val="000E3396"/>
    <w:rsid w:val="000E3D42"/>
    <w:rsid w:val="00105783"/>
    <w:rsid w:val="00111580"/>
    <w:rsid w:val="00123184"/>
    <w:rsid w:val="00130C18"/>
    <w:rsid w:val="0013570C"/>
    <w:rsid w:val="0013570E"/>
    <w:rsid w:val="00145252"/>
    <w:rsid w:val="001525E1"/>
    <w:rsid w:val="00162541"/>
    <w:rsid w:val="00163027"/>
    <w:rsid w:val="001638FE"/>
    <w:rsid w:val="00176F93"/>
    <w:rsid w:val="001819CE"/>
    <w:rsid w:val="00185F6C"/>
    <w:rsid w:val="001A23C2"/>
    <w:rsid w:val="001A2C29"/>
    <w:rsid w:val="001B0141"/>
    <w:rsid w:val="001D7755"/>
    <w:rsid w:val="001E10AB"/>
    <w:rsid w:val="00206609"/>
    <w:rsid w:val="002108F1"/>
    <w:rsid w:val="00241BC4"/>
    <w:rsid w:val="00252CCD"/>
    <w:rsid w:val="00276B62"/>
    <w:rsid w:val="00282CF3"/>
    <w:rsid w:val="00284D21"/>
    <w:rsid w:val="002937EC"/>
    <w:rsid w:val="00294FAD"/>
    <w:rsid w:val="00295035"/>
    <w:rsid w:val="00297C77"/>
    <w:rsid w:val="002B4224"/>
    <w:rsid w:val="002C6A80"/>
    <w:rsid w:val="002D1042"/>
    <w:rsid w:val="002D4117"/>
    <w:rsid w:val="002D4BA3"/>
    <w:rsid w:val="002D5869"/>
    <w:rsid w:val="003027D6"/>
    <w:rsid w:val="003027DE"/>
    <w:rsid w:val="00303BD5"/>
    <w:rsid w:val="003040B7"/>
    <w:rsid w:val="003059B2"/>
    <w:rsid w:val="00324A96"/>
    <w:rsid w:val="00325730"/>
    <w:rsid w:val="00340FFE"/>
    <w:rsid w:val="003417DD"/>
    <w:rsid w:val="00344238"/>
    <w:rsid w:val="003465AC"/>
    <w:rsid w:val="0035513F"/>
    <w:rsid w:val="00360C8C"/>
    <w:rsid w:val="00361A09"/>
    <w:rsid w:val="00363D56"/>
    <w:rsid w:val="0039064A"/>
    <w:rsid w:val="0039591C"/>
    <w:rsid w:val="003A1643"/>
    <w:rsid w:val="003A73A4"/>
    <w:rsid w:val="003A76D4"/>
    <w:rsid w:val="003B0787"/>
    <w:rsid w:val="003B4F04"/>
    <w:rsid w:val="003B713A"/>
    <w:rsid w:val="003C42EA"/>
    <w:rsid w:val="003E4E1B"/>
    <w:rsid w:val="003F18A1"/>
    <w:rsid w:val="00407612"/>
    <w:rsid w:val="00416BF3"/>
    <w:rsid w:val="004213E1"/>
    <w:rsid w:val="004219F2"/>
    <w:rsid w:val="00423385"/>
    <w:rsid w:val="00423E5B"/>
    <w:rsid w:val="0042608E"/>
    <w:rsid w:val="0043067A"/>
    <w:rsid w:val="004336F1"/>
    <w:rsid w:val="00434A4A"/>
    <w:rsid w:val="0044079A"/>
    <w:rsid w:val="00443035"/>
    <w:rsid w:val="004445EC"/>
    <w:rsid w:val="00445694"/>
    <w:rsid w:val="00453469"/>
    <w:rsid w:val="00456D84"/>
    <w:rsid w:val="00481FE1"/>
    <w:rsid w:val="004821B4"/>
    <w:rsid w:val="004B565B"/>
    <w:rsid w:val="004C675B"/>
    <w:rsid w:val="004D4982"/>
    <w:rsid w:val="004E1F77"/>
    <w:rsid w:val="004E601F"/>
    <w:rsid w:val="004F310C"/>
    <w:rsid w:val="005140DD"/>
    <w:rsid w:val="00522C80"/>
    <w:rsid w:val="00523673"/>
    <w:rsid w:val="00527723"/>
    <w:rsid w:val="00552BC8"/>
    <w:rsid w:val="00552F58"/>
    <w:rsid w:val="0055393D"/>
    <w:rsid w:val="00556087"/>
    <w:rsid w:val="00586C59"/>
    <w:rsid w:val="00595B68"/>
    <w:rsid w:val="005B13AA"/>
    <w:rsid w:val="005B7341"/>
    <w:rsid w:val="005D3E61"/>
    <w:rsid w:val="005E16A3"/>
    <w:rsid w:val="005F1FC1"/>
    <w:rsid w:val="005F3DDB"/>
    <w:rsid w:val="005F5777"/>
    <w:rsid w:val="0060127E"/>
    <w:rsid w:val="00603E90"/>
    <w:rsid w:val="006071AF"/>
    <w:rsid w:val="00611502"/>
    <w:rsid w:val="00612537"/>
    <w:rsid w:val="00636086"/>
    <w:rsid w:val="00636314"/>
    <w:rsid w:val="00642FE2"/>
    <w:rsid w:val="00647498"/>
    <w:rsid w:val="006477EE"/>
    <w:rsid w:val="00647B59"/>
    <w:rsid w:val="00663D78"/>
    <w:rsid w:val="00664240"/>
    <w:rsid w:val="00672C28"/>
    <w:rsid w:val="00685233"/>
    <w:rsid w:val="00687439"/>
    <w:rsid w:val="006A417B"/>
    <w:rsid w:val="006B442A"/>
    <w:rsid w:val="006B51DA"/>
    <w:rsid w:val="006D0BE4"/>
    <w:rsid w:val="006E7BE0"/>
    <w:rsid w:val="006F7B5B"/>
    <w:rsid w:val="0070265C"/>
    <w:rsid w:val="00705EA5"/>
    <w:rsid w:val="007307EF"/>
    <w:rsid w:val="00731440"/>
    <w:rsid w:val="007455BF"/>
    <w:rsid w:val="00772BBC"/>
    <w:rsid w:val="007810C0"/>
    <w:rsid w:val="007914D9"/>
    <w:rsid w:val="00792073"/>
    <w:rsid w:val="007B0628"/>
    <w:rsid w:val="007B2363"/>
    <w:rsid w:val="007B60D4"/>
    <w:rsid w:val="007C109E"/>
    <w:rsid w:val="007E13AE"/>
    <w:rsid w:val="007E4D2A"/>
    <w:rsid w:val="007E760E"/>
    <w:rsid w:val="007F1C49"/>
    <w:rsid w:val="00801403"/>
    <w:rsid w:val="008242CA"/>
    <w:rsid w:val="00836D60"/>
    <w:rsid w:val="00842475"/>
    <w:rsid w:val="008666E3"/>
    <w:rsid w:val="00870C85"/>
    <w:rsid w:val="00872AE9"/>
    <w:rsid w:val="008959C1"/>
    <w:rsid w:val="008A4288"/>
    <w:rsid w:val="008A721F"/>
    <w:rsid w:val="008B3E88"/>
    <w:rsid w:val="008B7DD2"/>
    <w:rsid w:val="008C3E29"/>
    <w:rsid w:val="008D3F17"/>
    <w:rsid w:val="008E19DC"/>
    <w:rsid w:val="008F196B"/>
    <w:rsid w:val="008F31E5"/>
    <w:rsid w:val="009013D7"/>
    <w:rsid w:val="009231B0"/>
    <w:rsid w:val="009431CF"/>
    <w:rsid w:val="00951D44"/>
    <w:rsid w:val="009520DE"/>
    <w:rsid w:val="0096067A"/>
    <w:rsid w:val="00963360"/>
    <w:rsid w:val="0096640D"/>
    <w:rsid w:val="00973B0B"/>
    <w:rsid w:val="0098091F"/>
    <w:rsid w:val="009845A7"/>
    <w:rsid w:val="00997FCA"/>
    <w:rsid w:val="009A018F"/>
    <w:rsid w:val="009B6377"/>
    <w:rsid w:val="009B6CF2"/>
    <w:rsid w:val="009C022A"/>
    <w:rsid w:val="009C1253"/>
    <w:rsid w:val="009D1993"/>
    <w:rsid w:val="009D23DA"/>
    <w:rsid w:val="009E2490"/>
    <w:rsid w:val="009E2C19"/>
    <w:rsid w:val="009F1474"/>
    <w:rsid w:val="00A134B0"/>
    <w:rsid w:val="00A2224A"/>
    <w:rsid w:val="00A26E3B"/>
    <w:rsid w:val="00A545B5"/>
    <w:rsid w:val="00A6553E"/>
    <w:rsid w:val="00A7437C"/>
    <w:rsid w:val="00A748EC"/>
    <w:rsid w:val="00AA274D"/>
    <w:rsid w:val="00AA2A6F"/>
    <w:rsid w:val="00AA5712"/>
    <w:rsid w:val="00AB0277"/>
    <w:rsid w:val="00AB1654"/>
    <w:rsid w:val="00AB7567"/>
    <w:rsid w:val="00AE2B3F"/>
    <w:rsid w:val="00AF77CD"/>
    <w:rsid w:val="00B05C6E"/>
    <w:rsid w:val="00B13A60"/>
    <w:rsid w:val="00B20217"/>
    <w:rsid w:val="00B20A5D"/>
    <w:rsid w:val="00B442BA"/>
    <w:rsid w:val="00B44779"/>
    <w:rsid w:val="00B56701"/>
    <w:rsid w:val="00B6665D"/>
    <w:rsid w:val="00B73907"/>
    <w:rsid w:val="00B83F6E"/>
    <w:rsid w:val="00BB6AC3"/>
    <w:rsid w:val="00BC7CF9"/>
    <w:rsid w:val="00BF7DED"/>
    <w:rsid w:val="00C1087A"/>
    <w:rsid w:val="00C13994"/>
    <w:rsid w:val="00C14096"/>
    <w:rsid w:val="00C143A7"/>
    <w:rsid w:val="00C46F50"/>
    <w:rsid w:val="00C47CA7"/>
    <w:rsid w:val="00C50915"/>
    <w:rsid w:val="00C57B4D"/>
    <w:rsid w:val="00C62710"/>
    <w:rsid w:val="00C63F56"/>
    <w:rsid w:val="00C71764"/>
    <w:rsid w:val="00C80941"/>
    <w:rsid w:val="00C83968"/>
    <w:rsid w:val="00C878BA"/>
    <w:rsid w:val="00C944E8"/>
    <w:rsid w:val="00CA1740"/>
    <w:rsid w:val="00CA611C"/>
    <w:rsid w:val="00CA64B6"/>
    <w:rsid w:val="00CB469A"/>
    <w:rsid w:val="00CC4D8B"/>
    <w:rsid w:val="00CC6E11"/>
    <w:rsid w:val="00CD6582"/>
    <w:rsid w:val="00CD779A"/>
    <w:rsid w:val="00CE067E"/>
    <w:rsid w:val="00CE230F"/>
    <w:rsid w:val="00CE2AFA"/>
    <w:rsid w:val="00CE2F52"/>
    <w:rsid w:val="00CF73F9"/>
    <w:rsid w:val="00D00E95"/>
    <w:rsid w:val="00D11ED4"/>
    <w:rsid w:val="00D128C7"/>
    <w:rsid w:val="00D1557C"/>
    <w:rsid w:val="00D32AEF"/>
    <w:rsid w:val="00D354C6"/>
    <w:rsid w:val="00D3676D"/>
    <w:rsid w:val="00D44CF1"/>
    <w:rsid w:val="00D4645B"/>
    <w:rsid w:val="00D62DD8"/>
    <w:rsid w:val="00D70C76"/>
    <w:rsid w:val="00D7645F"/>
    <w:rsid w:val="00D81A45"/>
    <w:rsid w:val="00D950A0"/>
    <w:rsid w:val="00DA526C"/>
    <w:rsid w:val="00DC6349"/>
    <w:rsid w:val="00DC7189"/>
    <w:rsid w:val="00DD3B07"/>
    <w:rsid w:val="00DE2AED"/>
    <w:rsid w:val="00DF724D"/>
    <w:rsid w:val="00E027DE"/>
    <w:rsid w:val="00E12971"/>
    <w:rsid w:val="00E16E5F"/>
    <w:rsid w:val="00E233B7"/>
    <w:rsid w:val="00E3312C"/>
    <w:rsid w:val="00E66540"/>
    <w:rsid w:val="00E6709E"/>
    <w:rsid w:val="00E77F16"/>
    <w:rsid w:val="00E810E3"/>
    <w:rsid w:val="00E92057"/>
    <w:rsid w:val="00EA48D1"/>
    <w:rsid w:val="00EA7F09"/>
    <w:rsid w:val="00EC0F6F"/>
    <w:rsid w:val="00EC3A2B"/>
    <w:rsid w:val="00EC6CEC"/>
    <w:rsid w:val="00ED636A"/>
    <w:rsid w:val="00EE36EF"/>
    <w:rsid w:val="00EE4668"/>
    <w:rsid w:val="00EF1F8C"/>
    <w:rsid w:val="00EF4E2F"/>
    <w:rsid w:val="00EF56F9"/>
    <w:rsid w:val="00EF7D3B"/>
    <w:rsid w:val="00F05CA0"/>
    <w:rsid w:val="00F41A9D"/>
    <w:rsid w:val="00F642AC"/>
    <w:rsid w:val="00F76B4A"/>
    <w:rsid w:val="00F80B30"/>
    <w:rsid w:val="00F81352"/>
    <w:rsid w:val="00F87E5B"/>
    <w:rsid w:val="00F93556"/>
    <w:rsid w:val="00FA4E18"/>
    <w:rsid w:val="00FB02AC"/>
    <w:rsid w:val="00FC50CF"/>
    <w:rsid w:val="00FD3B13"/>
    <w:rsid w:val="00FF3811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EA6E45-D8FD-42B3-A972-B88B693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18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B2363"/>
    <w:pPr>
      <w:spacing w:after="120" w:line="480" w:lineRule="auto"/>
      <w:ind w:left="283"/>
    </w:pPr>
    <w:rPr>
      <w:sz w:val="24"/>
    </w:rPr>
  </w:style>
  <w:style w:type="paragraph" w:customStyle="1" w:styleId="1">
    <w:name w:val="Заг_текст1"/>
    <w:basedOn w:val="a"/>
    <w:rsid w:val="00D128C7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Normal">
    <w:name w:val="ConsNormal"/>
    <w:rsid w:val="003C42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F51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0">
    <w:name w:val="3.0 текст закона"/>
    <w:basedOn w:val="a"/>
    <w:rsid w:val="00CE2F52"/>
    <w:pPr>
      <w:ind w:firstLine="709"/>
      <w:jc w:val="both"/>
    </w:pPr>
    <w:rPr>
      <w:sz w:val="24"/>
      <w:szCs w:val="24"/>
    </w:rPr>
  </w:style>
  <w:style w:type="paragraph" w:styleId="a4">
    <w:name w:val="Body Text Indent"/>
    <w:basedOn w:val="a"/>
    <w:rsid w:val="00CE2F52"/>
    <w:pPr>
      <w:spacing w:after="120"/>
      <w:ind w:left="283"/>
    </w:pPr>
  </w:style>
  <w:style w:type="paragraph" w:styleId="a5">
    <w:name w:val="header"/>
    <w:basedOn w:val="a"/>
    <w:link w:val="a6"/>
    <w:uiPriority w:val="99"/>
    <w:rsid w:val="004407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079A"/>
    <w:rPr>
      <w:sz w:val="26"/>
    </w:rPr>
  </w:style>
  <w:style w:type="paragraph" w:styleId="a7">
    <w:name w:val="footer"/>
    <w:basedOn w:val="a"/>
    <w:link w:val="a8"/>
    <w:rsid w:val="004407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079A"/>
    <w:rPr>
      <w:sz w:val="26"/>
    </w:rPr>
  </w:style>
  <w:style w:type="character" w:styleId="a9">
    <w:name w:val="Hyperlink"/>
    <w:rsid w:val="00CA611C"/>
    <w:rPr>
      <w:color w:val="0000FF"/>
      <w:u w:val="single"/>
    </w:rPr>
  </w:style>
  <w:style w:type="character" w:customStyle="1" w:styleId="20">
    <w:name w:val="Основной текст (2)_"/>
    <w:link w:val="21"/>
    <w:rsid w:val="001A23C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23C2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customStyle="1" w:styleId="Bodytext2">
    <w:name w:val="Body text (2)_"/>
    <w:link w:val="Bodytext20"/>
    <w:locked/>
    <w:rsid w:val="009B637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B6377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agkova\Application%20Data\Microsoft\&#1064;&#1072;&#1073;&#1083;&#1086;&#1085;&#1099;\&#1041;&#1083;&#1072;&#1085;&#1082;%20&#1059;&#1087;&#1088;&#1072;&#1074;&#1083;&#1077;&#1085;&#1080;&#1077;%20&#1092;&#1080;&#1085;&#1072;&#1085;&#1089;&#1086;&#1074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BE8-5F0A-402E-B431-101521EA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Управление финансов новый</Template>
  <TotalTime>1154</TotalTime>
  <Pages>6</Pages>
  <Words>2030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Управление финансов</vt:lpstr>
    </vt:vector>
  </TitlesOfParts>
  <Company>Управление финансов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Управление финансов</dc:title>
  <dc:subject>Бланк Управление финансов для писем с гербом</dc:subject>
  <dc:creator>Myagkova</dc:creator>
  <cp:keywords/>
  <cp:lastModifiedBy>Людмила Александровна Карпушева</cp:lastModifiedBy>
  <cp:revision>18</cp:revision>
  <cp:lastPrinted>2024-10-01T08:31:00Z</cp:lastPrinted>
  <dcterms:created xsi:type="dcterms:W3CDTF">2023-08-31T13:14:00Z</dcterms:created>
  <dcterms:modified xsi:type="dcterms:W3CDTF">2024-10-11T08:20:00Z</dcterms:modified>
</cp:coreProperties>
</file>