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18"/>
        <w:gridCol w:w="5038"/>
      </w:tblGrid>
      <w:tr w:rsidR="002C514C" w:rsidTr="00622C73">
        <w:tc>
          <w:tcPr>
            <w:tcW w:w="4318" w:type="dxa"/>
          </w:tcPr>
          <w:p w:rsidR="002C514C" w:rsidRDefault="0090337C">
            <w:pPr>
              <w:pStyle w:val="af"/>
              <w:ind w:left="0" w:firstLine="0"/>
              <w:jc w:val="left"/>
              <w:outlineLvl w:val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 xml:space="preserve"> </w:t>
            </w:r>
          </w:p>
        </w:tc>
        <w:tc>
          <w:tcPr>
            <w:tcW w:w="5038" w:type="dxa"/>
          </w:tcPr>
          <w:p w:rsidR="002C514C" w:rsidRDefault="0090337C" w:rsidP="00113164">
            <w:pPr>
              <w:spacing w:after="0" w:line="240" w:lineRule="auto"/>
              <w:jc w:val="right"/>
              <w:rPr>
                <w:b/>
              </w:rPr>
            </w:pPr>
            <w:r>
              <w:rPr>
                <w:rFonts w:ascii="Times New Roman" w:hAnsi="Times New Roman"/>
                <w:sz w:val="24"/>
              </w:rPr>
              <w:t xml:space="preserve">Проект № </w:t>
            </w:r>
            <w:r w:rsidR="00113164">
              <w:rPr>
                <w:rFonts w:ascii="Times New Roman" w:hAnsi="Times New Roman"/>
                <w:sz w:val="24"/>
              </w:rPr>
              <w:t>191</w:t>
            </w:r>
            <w:r>
              <w:rPr>
                <w:rFonts w:ascii="Times New Roman" w:hAnsi="Times New Roman"/>
                <w:sz w:val="24"/>
              </w:rPr>
              <w:t>-пр</w:t>
            </w:r>
          </w:p>
        </w:tc>
      </w:tr>
      <w:tr w:rsidR="002C514C" w:rsidTr="00622C73">
        <w:tc>
          <w:tcPr>
            <w:tcW w:w="4318" w:type="dxa"/>
          </w:tcPr>
          <w:p w:rsidR="002C514C" w:rsidRDefault="002C514C">
            <w:pPr>
              <w:pStyle w:val="af"/>
              <w:ind w:left="0" w:firstLine="0"/>
              <w:jc w:val="left"/>
              <w:outlineLvl w:val="0"/>
              <w:rPr>
                <w:b w:val="0"/>
              </w:rPr>
            </w:pPr>
          </w:p>
        </w:tc>
        <w:tc>
          <w:tcPr>
            <w:tcW w:w="5038" w:type="dxa"/>
          </w:tcPr>
          <w:p w:rsidR="002C514C" w:rsidRDefault="002C51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2C514C" w:rsidRDefault="0090337C">
      <w:pPr>
        <w:spacing w:after="60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 НЕНЕЦКОГО АВТОНОМНОГО ОКРУГА</w:t>
      </w:r>
    </w:p>
    <w:p w:rsidR="002C514C" w:rsidRDefault="0090337C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статью 15 закона </w:t>
      </w:r>
      <w:r>
        <w:rPr>
          <w:rFonts w:ascii="Times New Roman" w:hAnsi="Times New Roman"/>
          <w:sz w:val="28"/>
        </w:rPr>
        <w:br/>
        <w:t xml:space="preserve">Ненецкого автономного округа </w:t>
      </w:r>
    </w:p>
    <w:p w:rsidR="002C514C" w:rsidRDefault="0090337C">
      <w:pPr>
        <w:pStyle w:val="ConsPlusTitle"/>
        <w:widowControl/>
        <w:spacing w:after="80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«Об Администрации Ненецкого автономного округа»</w:t>
      </w:r>
    </w:p>
    <w:p w:rsidR="002C514C" w:rsidRDefault="0090337C">
      <w:pPr>
        <w:spacing w:after="44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принятия в первом чтении                                                «____»__________20___года</w:t>
      </w:r>
    </w:p>
    <w:p w:rsidR="002C514C" w:rsidRDefault="0090337C">
      <w:pPr>
        <w:pStyle w:val="ConsPlusNormal"/>
        <w:widowControl/>
        <w:spacing w:after="24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Статья 1</w:t>
      </w:r>
    </w:p>
    <w:p w:rsidR="002C514C" w:rsidRDefault="0090337C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Внести в статью 15 закона Ненецкого автономного округа от 6 января 2005 года № 542-оз «Об Администрации Ненецкого автономного округа» (в редакции закона округа от 6 октября 2025 года </w:t>
      </w:r>
      <w:hyperlink r:id="rId7" w:history="1">
        <w:r>
          <w:rPr>
            <w:rFonts w:ascii="Times New Roman" w:hAnsi="Times New Roman"/>
            <w:sz w:val="24"/>
          </w:rPr>
          <w:t>№</w:t>
        </w:r>
      </w:hyperlink>
      <w:r>
        <w:rPr>
          <w:rFonts w:ascii="Times New Roman" w:hAnsi="Times New Roman"/>
          <w:sz w:val="24"/>
        </w:rPr>
        <w:t xml:space="preserve"> 134-оз) следующие изменения:</w:t>
      </w:r>
    </w:p>
    <w:p w:rsidR="002C514C" w:rsidRDefault="0090337C">
      <w:pPr>
        <w:pStyle w:val="ConsPlusNormal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абзац третий части 1 изложить в следующей редакции:</w:t>
      </w:r>
    </w:p>
    <w:p w:rsidR="002C514C" w:rsidRDefault="0090337C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«Порядок подготовки и проведения заседаний Администрации округа, </w:t>
      </w:r>
      <w:r>
        <w:rPr>
          <w:rFonts w:ascii="Times New Roman" w:hAnsi="Times New Roman"/>
          <w:sz w:val="24"/>
        </w:rPr>
        <w:br/>
        <w:t>их правомочность определяются Регламентом работы Администрации округа, утверждаемым Администрацией округа.»;</w:t>
      </w:r>
    </w:p>
    <w:p w:rsidR="002C514C" w:rsidRDefault="0090337C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часть 2 признать утратившей силу.</w:t>
      </w:r>
    </w:p>
    <w:p w:rsidR="002C514C" w:rsidRDefault="0090337C">
      <w:pPr>
        <w:pStyle w:val="ConsPlusTitle"/>
        <w:widowControl/>
        <w:tabs>
          <w:tab w:val="left" w:pos="993"/>
        </w:tabs>
        <w:spacing w:before="240" w:after="240"/>
        <w:ind w:firstLine="709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 2</w:t>
      </w:r>
    </w:p>
    <w:p w:rsidR="002C514C" w:rsidRDefault="0090337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Настоящий закон вступает в силу по истечении десяти дней после дня </w:t>
      </w:r>
      <w:r>
        <w:rPr>
          <w:rFonts w:ascii="Times New Roman" w:hAnsi="Times New Roman"/>
          <w:sz w:val="24"/>
        </w:rPr>
        <w:br/>
        <w:t>его официального опубликования.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2C514C">
        <w:trPr>
          <w:trHeight w:val="828"/>
        </w:trPr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C514C" w:rsidRDefault="0090337C">
            <w:pPr>
              <w:widowControl w:val="0"/>
              <w:tabs>
                <w:tab w:val="left" w:pos="3828"/>
              </w:tabs>
              <w:spacing w:before="1000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Председатель Собрания депутатов</w:t>
            </w:r>
          </w:p>
          <w:p w:rsidR="002C514C" w:rsidRDefault="009033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Ненецкого автономного округа</w:t>
            </w:r>
          </w:p>
          <w:p w:rsidR="002C514C" w:rsidRDefault="0090337C">
            <w:pPr>
              <w:widowControl w:val="0"/>
              <w:spacing w:before="1000" w:after="10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А.П. Чурсанов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C514C" w:rsidRDefault="0090337C">
            <w:pPr>
              <w:widowControl w:val="0"/>
              <w:spacing w:before="1000" w:after="0" w:line="240" w:lineRule="auto"/>
              <w:ind w:left="3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Губернатор</w:t>
            </w:r>
          </w:p>
          <w:p w:rsidR="002C514C" w:rsidRDefault="0090337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Ненецкого автономного округа</w:t>
            </w:r>
          </w:p>
          <w:p w:rsidR="002C514C" w:rsidRDefault="0090337C">
            <w:pPr>
              <w:widowControl w:val="0"/>
              <w:tabs>
                <w:tab w:val="left" w:pos="3464"/>
                <w:tab w:val="left" w:pos="5420"/>
                <w:tab w:val="left" w:pos="6271"/>
              </w:tabs>
              <w:spacing w:before="1000" w:after="0" w:line="240" w:lineRule="auto"/>
              <w:ind w:left="34" w:right="3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И.А. Гехт</w:t>
            </w:r>
          </w:p>
        </w:tc>
      </w:tr>
    </w:tbl>
    <w:p w:rsidR="002C514C" w:rsidRDefault="0090337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Нарьян-Мар</w:t>
      </w:r>
    </w:p>
    <w:p w:rsidR="002C514C" w:rsidRDefault="0090337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 __ » _________ 20___ года</w:t>
      </w:r>
    </w:p>
    <w:p w:rsidR="0090337C" w:rsidRDefault="0090337C">
      <w:pPr>
        <w:spacing w:after="0" w:line="240" w:lineRule="auto"/>
        <w:jc w:val="both"/>
        <w:rPr>
          <w:rFonts w:ascii="Times New Roman" w:hAnsi="Times New Roman"/>
          <w:sz w:val="24"/>
        </w:rPr>
        <w:sectPr w:rsidR="0090337C">
          <w:footerReference w:type="default" r:id="rId8"/>
          <w:pgSz w:w="11906" w:h="16838"/>
          <w:pgMar w:top="1134" w:right="1418" w:bottom="1134" w:left="1418" w:header="709" w:footer="709" w:gutter="0"/>
          <w:cols w:space="720"/>
          <w:titlePg/>
        </w:sectPr>
      </w:pPr>
      <w:r>
        <w:rPr>
          <w:rFonts w:ascii="Times New Roman" w:hAnsi="Times New Roman"/>
          <w:sz w:val="24"/>
        </w:rPr>
        <w:t>№ ___-оз</w:t>
      </w:r>
    </w:p>
    <w:p w:rsidR="0090337C" w:rsidRPr="0090337C" w:rsidRDefault="0090337C" w:rsidP="0090337C">
      <w:pPr>
        <w:spacing w:after="0" w:line="240" w:lineRule="auto"/>
        <w:ind w:right="57"/>
        <w:jc w:val="center"/>
        <w:rPr>
          <w:rFonts w:ascii="XO Thames" w:hAnsi="XO Thames"/>
          <w:b/>
          <w:sz w:val="26"/>
        </w:rPr>
      </w:pPr>
      <w:r w:rsidRPr="0090337C">
        <w:rPr>
          <w:rFonts w:ascii="XO Thames" w:hAnsi="XO Thames"/>
          <w:b/>
          <w:sz w:val="26"/>
        </w:rPr>
        <w:lastRenderedPageBreak/>
        <w:t>Пояснительная записка</w:t>
      </w:r>
    </w:p>
    <w:p w:rsidR="0090337C" w:rsidRPr="0090337C" w:rsidRDefault="0090337C" w:rsidP="0090337C">
      <w:pPr>
        <w:spacing w:after="0" w:line="240" w:lineRule="auto"/>
        <w:ind w:right="57"/>
        <w:jc w:val="center"/>
        <w:rPr>
          <w:rFonts w:ascii="XO Thames" w:hAnsi="XO Thames"/>
          <w:b/>
          <w:sz w:val="26"/>
        </w:rPr>
      </w:pPr>
      <w:r w:rsidRPr="0090337C">
        <w:rPr>
          <w:rFonts w:ascii="XO Thames" w:hAnsi="XO Thames"/>
          <w:b/>
          <w:sz w:val="26"/>
        </w:rPr>
        <w:t>к проекту закона Ненецкого автономного округа</w:t>
      </w:r>
    </w:p>
    <w:p w:rsidR="0090337C" w:rsidRPr="0090337C" w:rsidRDefault="0090337C" w:rsidP="0090337C">
      <w:pPr>
        <w:spacing w:after="0" w:line="240" w:lineRule="auto"/>
        <w:ind w:right="57"/>
        <w:jc w:val="center"/>
        <w:rPr>
          <w:rFonts w:ascii="XO Thames" w:hAnsi="XO Thames"/>
          <w:b/>
          <w:sz w:val="26"/>
        </w:rPr>
      </w:pPr>
      <w:r w:rsidRPr="0090337C">
        <w:rPr>
          <w:rFonts w:ascii="XO Thames" w:hAnsi="XO Thames"/>
          <w:b/>
          <w:sz w:val="26"/>
        </w:rPr>
        <w:t xml:space="preserve">«О внесении изменения в статью 15 закона Ненецкого автономного округа </w:t>
      </w:r>
      <w:r w:rsidRPr="0090337C">
        <w:rPr>
          <w:rFonts w:ascii="XO Thames" w:hAnsi="XO Thames"/>
          <w:b/>
          <w:sz w:val="26"/>
        </w:rPr>
        <w:br/>
        <w:t>«Об Администрации Ненецкого автономного округа»</w:t>
      </w:r>
    </w:p>
    <w:p w:rsidR="0090337C" w:rsidRPr="0090337C" w:rsidRDefault="0090337C" w:rsidP="0090337C">
      <w:pPr>
        <w:spacing w:after="0" w:line="240" w:lineRule="auto"/>
        <w:ind w:right="57"/>
        <w:jc w:val="center"/>
        <w:rPr>
          <w:rFonts w:ascii="XO Thames" w:hAnsi="XO Thames"/>
          <w:b/>
          <w:sz w:val="26"/>
        </w:rPr>
      </w:pPr>
    </w:p>
    <w:p w:rsidR="0090337C" w:rsidRPr="0090337C" w:rsidRDefault="0090337C" w:rsidP="0090337C">
      <w:pPr>
        <w:spacing w:after="0" w:line="240" w:lineRule="auto"/>
        <w:ind w:right="57" w:firstLine="708"/>
        <w:jc w:val="both"/>
        <w:rPr>
          <w:rFonts w:ascii="XO Thames" w:hAnsi="XO Thames"/>
          <w:sz w:val="26"/>
        </w:rPr>
      </w:pPr>
      <w:r w:rsidRPr="0090337C">
        <w:rPr>
          <w:rFonts w:ascii="XO Thames" w:hAnsi="XO Thames"/>
          <w:sz w:val="26"/>
        </w:rPr>
        <w:t>Субъект правотворческой инициативы: губернатор Ненецкого автономного округа.</w:t>
      </w:r>
    </w:p>
    <w:p w:rsidR="0090337C" w:rsidRPr="0090337C" w:rsidRDefault="0090337C" w:rsidP="0090337C">
      <w:pPr>
        <w:spacing w:after="0" w:line="240" w:lineRule="auto"/>
        <w:ind w:right="57" w:firstLine="708"/>
        <w:jc w:val="both"/>
        <w:rPr>
          <w:rFonts w:ascii="XO Thames" w:hAnsi="XO Thames"/>
          <w:sz w:val="26"/>
        </w:rPr>
      </w:pPr>
    </w:p>
    <w:p w:rsidR="0090337C" w:rsidRPr="0090337C" w:rsidRDefault="0090337C" w:rsidP="0090337C">
      <w:pPr>
        <w:spacing w:after="0" w:line="240" w:lineRule="auto"/>
        <w:ind w:right="57" w:firstLine="708"/>
        <w:jc w:val="both"/>
        <w:rPr>
          <w:rFonts w:ascii="XO Thames" w:hAnsi="XO Thames"/>
          <w:sz w:val="26"/>
        </w:rPr>
      </w:pPr>
      <w:r w:rsidRPr="0090337C">
        <w:rPr>
          <w:rFonts w:ascii="XO Thames" w:hAnsi="XO Thames"/>
          <w:sz w:val="26"/>
        </w:rPr>
        <w:t>Разработчик проекта: Аппарат Администрации Ненецкого автономного округа.</w:t>
      </w:r>
    </w:p>
    <w:p w:rsidR="0090337C" w:rsidRPr="0090337C" w:rsidRDefault="0090337C" w:rsidP="0090337C">
      <w:pPr>
        <w:spacing w:after="0" w:line="240" w:lineRule="auto"/>
        <w:ind w:right="57" w:firstLine="708"/>
        <w:jc w:val="both"/>
        <w:rPr>
          <w:rFonts w:ascii="XO Thames" w:hAnsi="XO Thames"/>
          <w:sz w:val="26"/>
        </w:rPr>
      </w:pPr>
    </w:p>
    <w:p w:rsidR="0090337C" w:rsidRPr="0090337C" w:rsidRDefault="0090337C" w:rsidP="0090337C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 w:rsidRPr="0090337C">
        <w:rPr>
          <w:rFonts w:ascii="XO Thames" w:hAnsi="XO Thames"/>
          <w:sz w:val="26"/>
        </w:rPr>
        <w:t>Представленным проектом закона предлагается внести изменения в закон Ненецкого автономного округа от 06.01.2005 № 542-оз «Об Администрации Ненецкого автономного округа» в части исключения из него нормы, определяющей правомочность заседаний Администрации Ненецкого автономного округа (кворум).</w:t>
      </w:r>
    </w:p>
    <w:p w:rsidR="0090337C" w:rsidRPr="0090337C" w:rsidRDefault="0090337C" w:rsidP="0090337C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 w:rsidRPr="0090337C">
        <w:rPr>
          <w:rFonts w:ascii="XO Thames" w:hAnsi="XO Thames"/>
          <w:sz w:val="26"/>
        </w:rPr>
        <w:t xml:space="preserve">В связи с отсутствием необходимости регулирования данного вопроса </w:t>
      </w:r>
      <w:r w:rsidRPr="0090337C">
        <w:rPr>
          <w:rFonts w:ascii="XO Thames" w:hAnsi="XO Thames"/>
          <w:sz w:val="26"/>
        </w:rPr>
        <w:br/>
        <w:t>на законодательном уровне предлагается определить правомочность заседаний Администрации Ненецкого автономного округа Регламентом работы Администрации Ненецкого автономного округа, утвержденным постановлением Администрации Ненецкого автономного округа от 24.08.2015 № 266-п.</w:t>
      </w:r>
    </w:p>
    <w:p w:rsidR="0090337C" w:rsidRPr="0090337C" w:rsidRDefault="0090337C" w:rsidP="0090337C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 w:rsidRPr="0090337C">
        <w:rPr>
          <w:rFonts w:ascii="XO Thames" w:hAnsi="XO Thames"/>
          <w:sz w:val="26"/>
        </w:rPr>
        <w:t xml:space="preserve">Принятие закона, проект которого представлен, не потребует дополнительных финансовых средств из бюджета Ненецкого автономного округа. </w:t>
      </w:r>
    </w:p>
    <w:p w:rsidR="0090337C" w:rsidRPr="0090337C" w:rsidRDefault="0090337C" w:rsidP="0090337C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 w:rsidRPr="0090337C">
        <w:rPr>
          <w:rFonts w:ascii="XO Thames" w:hAnsi="XO Thames"/>
          <w:sz w:val="26"/>
        </w:rPr>
        <w:t xml:space="preserve">Проект закона не затрагивает вопросы осуществления предпринимательской </w:t>
      </w:r>
      <w:r w:rsidRPr="0090337C">
        <w:rPr>
          <w:rFonts w:ascii="XO Thames" w:hAnsi="XO Thames"/>
          <w:sz w:val="26"/>
        </w:rPr>
        <w:br/>
        <w:t xml:space="preserve">и инвестиционной деятельности, оценке регулирующего воздействия не подлежит. </w:t>
      </w:r>
    </w:p>
    <w:p w:rsidR="0090337C" w:rsidRPr="0090337C" w:rsidRDefault="0090337C" w:rsidP="0090337C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 w:rsidRPr="0090337C">
        <w:rPr>
          <w:rFonts w:ascii="XO Thames" w:hAnsi="XO Thames"/>
          <w:sz w:val="26"/>
        </w:rPr>
        <w:t>Принятие законопроекта потребует внесения изменений в Регламент работы Администрации Ненецкого автономного округа, утвержденный постановлением Администрации Ненецкого автономного округа от 24.08.2015 № 266-п.</w:t>
      </w:r>
    </w:p>
    <w:p w:rsidR="0090337C" w:rsidRPr="0090337C" w:rsidRDefault="0090337C" w:rsidP="0090337C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 w:rsidRPr="0090337C">
        <w:rPr>
          <w:rFonts w:ascii="XO Thames" w:hAnsi="XO Thames"/>
          <w:sz w:val="26"/>
        </w:rPr>
        <w:t xml:space="preserve">В соответствии со статьей 30 закона Ненецкого автономного округа от 03.02.2006 № 673-оз «О нормативных правовых актах Ненецкого автономного округа» внесение изменений в нормативный правовой акт или его отдельные структурные единицы осуществляется путем принятия нормативного правового акта о внесении изменений </w:t>
      </w:r>
      <w:r w:rsidRPr="0090337C">
        <w:rPr>
          <w:rFonts w:ascii="XO Thames" w:hAnsi="XO Thames"/>
          <w:sz w:val="26"/>
        </w:rPr>
        <w:br/>
        <w:t>в нормативный правовой акт или его отдельные структурные единицы.</w:t>
      </w:r>
    </w:p>
    <w:p w:rsidR="0090337C" w:rsidRPr="0090337C" w:rsidRDefault="0090337C" w:rsidP="0090337C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 w:rsidRPr="0090337C">
        <w:rPr>
          <w:rFonts w:ascii="XO Thames" w:hAnsi="XO Thames"/>
          <w:sz w:val="26"/>
        </w:rPr>
        <w:t>В соответствии с Уставом Ненецкого автономного округа принятие законов округа относится к компетенции Собрания депутатов Ненецкого автономного округа (статья 28). Право законодательной инициативы в Собрании депутатов Ненецкого автономного округа принадлежит, в том числе губернатору Ненецкого автономного округа (статья 29).</w:t>
      </w:r>
    </w:p>
    <w:p w:rsidR="0090337C" w:rsidRPr="0090337C" w:rsidRDefault="0090337C" w:rsidP="0090337C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 w:rsidRPr="0090337C">
        <w:rPr>
          <w:rFonts w:ascii="XO Thames" w:hAnsi="XO Thames"/>
          <w:sz w:val="26"/>
        </w:rPr>
        <w:t>В соответствии со статьей 16 закона Ненецкого автономного округа от 06.01.2005 № 542-оз «Об Администрации Ненецкого автономного округа» проекты законов подлежат рассмотрению на заседании Администрации Ненецкого автономного округа.</w:t>
      </w:r>
    </w:p>
    <w:p w:rsidR="0090337C" w:rsidRPr="0090337C" w:rsidRDefault="0090337C" w:rsidP="0090337C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 w:rsidRPr="0090337C">
        <w:rPr>
          <w:rFonts w:ascii="XO Thames" w:hAnsi="XO Thames"/>
          <w:sz w:val="26"/>
        </w:rPr>
        <w:t>Таким образом, рассмотрение проекта закона относится к компетенции Администрации Ненецкого автономного округа.</w:t>
      </w:r>
    </w:p>
    <w:p w:rsidR="0090337C" w:rsidRPr="0090337C" w:rsidRDefault="0090337C" w:rsidP="0090337C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 w:rsidRPr="0090337C">
        <w:rPr>
          <w:rFonts w:ascii="XO Thames" w:hAnsi="XO Thames"/>
          <w:sz w:val="26"/>
        </w:rPr>
        <w:t>Необходимость в проведении общественного обсуждения проекта закона отсутствует.</w:t>
      </w:r>
    </w:p>
    <w:p w:rsidR="002C514C" w:rsidRDefault="002C514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2C514C">
      <w:headerReference w:type="default" r:id="rId9"/>
      <w:pgSz w:w="11908" w:h="16848"/>
      <w:pgMar w:top="1134" w:right="567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558" w:rsidRDefault="0090337C">
      <w:pPr>
        <w:spacing w:after="0" w:line="240" w:lineRule="auto"/>
      </w:pPr>
      <w:r>
        <w:separator/>
      </w:r>
    </w:p>
  </w:endnote>
  <w:endnote w:type="continuationSeparator" w:id="0">
    <w:p w:rsidR="00CD6558" w:rsidRDefault="0090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14C" w:rsidRDefault="0090337C">
    <w:pPr>
      <w:pStyle w:val="a7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558" w:rsidRDefault="0090337C">
      <w:pPr>
        <w:spacing w:after="0" w:line="240" w:lineRule="auto"/>
      </w:pPr>
      <w:r>
        <w:separator/>
      </w:r>
    </w:p>
  </w:footnote>
  <w:footnote w:type="continuationSeparator" w:id="0">
    <w:p w:rsidR="00CD6558" w:rsidRDefault="0090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C4" w:rsidRDefault="0090337C">
    <w:pPr>
      <w:pStyle w:val="a3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190FC4" w:rsidRDefault="00622C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0609E"/>
    <w:multiLevelType w:val="multilevel"/>
    <w:tmpl w:val="B8E0F15C"/>
    <w:lvl w:ilvl="0">
      <w:start w:val="1"/>
      <w:numFmt w:val="decimal"/>
      <w:lvlText w:val="%1)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4C"/>
    <w:rsid w:val="00113164"/>
    <w:rsid w:val="002C514C"/>
    <w:rsid w:val="00622C73"/>
    <w:rsid w:val="0090337C"/>
    <w:rsid w:val="00C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103C7-A5CA-4B0C-8AE9-180314B3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12">
    <w:name w:val="Выделение1"/>
    <w:basedOn w:val="13"/>
    <w:link w:val="a9"/>
    <w:rPr>
      <w:i/>
    </w:rPr>
  </w:style>
  <w:style w:type="character" w:styleId="a9">
    <w:name w:val="Emphasis"/>
    <w:basedOn w:val="a0"/>
    <w:link w:val="12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4">
    <w:name w:val="Гиперссылка1"/>
    <w:basedOn w:val="13"/>
    <w:link w:val="aa"/>
    <w:rPr>
      <w:color w:val="0000FF"/>
      <w:u w:val="single"/>
    </w:rPr>
  </w:style>
  <w:style w:type="character" w:styleId="aa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after="480" w:line="240" w:lineRule="auto"/>
      <w:ind w:firstLine="1134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basedOn w:val="a"/>
    <w:link w:val="af0"/>
    <w:uiPriority w:val="10"/>
    <w:qFormat/>
    <w:pPr>
      <w:spacing w:after="0" w:line="240" w:lineRule="auto"/>
      <w:ind w:left="709" w:hanging="709"/>
      <w:jc w:val="center"/>
    </w:pPr>
    <w:rPr>
      <w:rFonts w:ascii="Times New Roman" w:hAnsi="Times New Roman"/>
      <w:b/>
      <w:sz w:val="24"/>
    </w:rPr>
  </w:style>
  <w:style w:type="character" w:customStyle="1" w:styleId="af0">
    <w:name w:val="Заголовок Знак"/>
    <w:basedOn w:val="1"/>
    <w:link w:val="af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C2246F9064DED7505AB05BE5785F76096AFD0E903F783A3CE71D02DAF9D310064C9E29640B5548D5CF90C804B59F2CBC34173580B45B87FF5FE93Ec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Карпушева</dc:creator>
  <cp:lastModifiedBy>Людмила Александровна Карпушева</cp:lastModifiedBy>
  <cp:revision>4</cp:revision>
  <dcterms:created xsi:type="dcterms:W3CDTF">2026-05-08T06:48:00Z</dcterms:created>
  <dcterms:modified xsi:type="dcterms:W3CDTF">2026-05-12T13:42:00Z</dcterms:modified>
</cp:coreProperties>
</file>